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E8D3" w14:textId="7D5CF018" w:rsidR="00A06A2C" w:rsidRPr="00532835" w:rsidRDefault="003E7597" w:rsidP="00680965">
      <w:pPr>
        <w:spacing w:before="120" w:after="0" w:line="240" w:lineRule="auto"/>
        <w:rPr>
          <w:rFonts w:ascii="Arial" w:hAnsi="Arial" w:cs="Arial"/>
          <w:b/>
          <w:sz w:val="28"/>
          <w:szCs w:val="28"/>
        </w:rPr>
      </w:pPr>
      <w:r w:rsidRPr="00532835">
        <w:rPr>
          <w:rFonts w:ascii="Arial" w:hAnsi="Arial" w:cs="Arial"/>
          <w:b/>
          <w:sz w:val="28"/>
          <w:szCs w:val="28"/>
        </w:rPr>
        <w:t>CHECKLIST</w:t>
      </w:r>
      <w:r w:rsidR="00490A41" w:rsidRPr="00532835">
        <w:rPr>
          <w:rFonts w:ascii="Arial" w:hAnsi="Arial" w:cs="Arial"/>
          <w:b/>
          <w:sz w:val="28"/>
          <w:szCs w:val="28"/>
        </w:rPr>
        <w:t xml:space="preserve">: </w:t>
      </w:r>
      <w:r w:rsidR="00A514E1" w:rsidRPr="001D49CF">
        <w:rPr>
          <w:rFonts w:ascii="Arial" w:hAnsi="Arial" w:cs="Arial"/>
          <w:b/>
          <w:sz w:val="28"/>
          <w:szCs w:val="28"/>
          <w:u w:val="single"/>
        </w:rPr>
        <w:t>Technická preventivní opatření</w:t>
      </w:r>
      <w:r w:rsidR="00A06B06" w:rsidRPr="001D49CF">
        <w:rPr>
          <w:rFonts w:ascii="Arial" w:hAnsi="Arial" w:cs="Arial"/>
          <w:b/>
          <w:sz w:val="28"/>
          <w:szCs w:val="28"/>
          <w:u w:val="single"/>
        </w:rPr>
        <w:t xml:space="preserve"> – MANIPULACE V EXPEDIČNÍM SKLADU VÝBUŠNIN</w:t>
      </w:r>
    </w:p>
    <w:p w14:paraId="37F3482F" w14:textId="4C8AA9AA" w:rsidR="009424CB" w:rsidRPr="00532835" w:rsidRDefault="00462CBC" w:rsidP="009424CB">
      <w:pPr>
        <w:spacing w:before="120" w:after="0" w:line="240" w:lineRule="auto"/>
        <w:jc w:val="both"/>
        <w:rPr>
          <w:rFonts w:ascii="Arial" w:hAnsi="Arial" w:cs="Arial"/>
          <w:color w:val="0070C0"/>
        </w:rPr>
      </w:pPr>
      <w:r w:rsidRPr="00532835">
        <w:rPr>
          <w:rFonts w:ascii="Arial" w:hAnsi="Arial" w:cs="Arial"/>
        </w:rPr>
        <w:t xml:space="preserve">Tento checklist (kontrolní seznam) je součástí souboru metodických nástrojů obecně určených pro účely posouzení </w:t>
      </w:r>
      <w:r w:rsidRPr="00532835">
        <w:rPr>
          <w:rFonts w:ascii="Arial" w:hAnsi="Arial" w:cs="Arial"/>
          <w:u w:val="single"/>
        </w:rPr>
        <w:t>vlivu spolehlivosti lidského činitele</w:t>
      </w:r>
      <w:r w:rsidRPr="00532835">
        <w:rPr>
          <w:rFonts w:ascii="Arial" w:hAnsi="Arial" w:cs="Arial"/>
        </w:rPr>
        <w:t xml:space="preserve"> při nakládání s nebezpečnými chemickými látkami</w:t>
      </w:r>
      <w:r w:rsidR="00E94485" w:rsidRPr="00532835">
        <w:rPr>
          <w:rFonts w:ascii="Arial" w:hAnsi="Arial" w:cs="Arial"/>
        </w:rPr>
        <w:t>; k</w:t>
      </w:r>
      <w:r w:rsidRPr="00532835">
        <w:rPr>
          <w:rFonts w:ascii="Arial" w:hAnsi="Arial" w:cs="Arial"/>
        </w:rPr>
        <w:t xml:space="preserve">onkrétně jde o příklad checklistu pro provoz </w:t>
      </w:r>
      <w:r w:rsidRPr="00532835">
        <w:rPr>
          <w:rFonts w:ascii="Arial" w:hAnsi="Arial" w:cs="Arial"/>
          <w:u w:val="single"/>
        </w:rPr>
        <w:t>expedičního (základního) skladu výbušnin</w:t>
      </w:r>
      <w:r w:rsidR="00E94485" w:rsidRPr="00532835">
        <w:rPr>
          <w:rFonts w:ascii="Arial" w:hAnsi="Arial" w:cs="Arial"/>
        </w:rPr>
        <w:t>.</w:t>
      </w:r>
    </w:p>
    <w:p w14:paraId="4A14B056" w14:textId="77777777" w:rsidR="00462CBC" w:rsidRPr="00532835" w:rsidRDefault="00462CBC" w:rsidP="00462CBC">
      <w:pPr>
        <w:spacing w:before="120" w:after="0" w:line="240" w:lineRule="auto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>Za zdroj informací pro vyplnění checklistu lze považovat zejména poznatky z bezpečnostní dokumentace a vnitřních předpisů provozovatele, dále z místní prohlídky pracoviště.</w:t>
      </w:r>
    </w:p>
    <w:p w14:paraId="16BDB759" w14:textId="744BF6B4" w:rsidR="00462CBC" w:rsidRPr="00532835" w:rsidRDefault="00462CBC" w:rsidP="00462CBC">
      <w:pPr>
        <w:spacing w:before="120" w:after="0" w:line="240" w:lineRule="auto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Jednotlivé položky </w:t>
      </w:r>
      <w:r w:rsidRPr="00532835">
        <w:rPr>
          <w:rFonts w:ascii="Arial" w:hAnsi="Arial" w:cs="Arial"/>
          <w:bCs/>
        </w:rPr>
        <w:t>checklistu </w:t>
      </w:r>
      <w:r w:rsidR="00186952">
        <w:rPr>
          <w:rFonts w:ascii="Arial" w:hAnsi="Arial" w:cs="Arial"/>
          <w:bCs/>
        </w:rPr>
        <w:t>s</w:t>
      </w:r>
      <w:r w:rsidRPr="00532835">
        <w:rPr>
          <w:rFonts w:ascii="Arial" w:hAnsi="Arial" w:cs="Arial"/>
        </w:rPr>
        <w:t>ledují:</w:t>
      </w:r>
    </w:p>
    <w:p w14:paraId="072F9E96" w14:textId="77777777" w:rsidR="00462CBC" w:rsidRPr="00532835" w:rsidRDefault="00462CBC" w:rsidP="00462CBC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typické </w:t>
      </w:r>
      <w:r w:rsidRPr="00532835">
        <w:rPr>
          <w:rFonts w:ascii="Arial" w:hAnsi="Arial" w:cs="Arial"/>
          <w:u w:val="single"/>
        </w:rPr>
        <w:t>nebezpečné stavy/situace</w:t>
      </w:r>
      <w:r w:rsidRPr="00532835">
        <w:rPr>
          <w:rFonts w:ascii="Arial" w:hAnsi="Arial" w:cs="Arial"/>
        </w:rPr>
        <w:t>, které mohou být vyvolány převážně lidskou chybou (příp. i spoluúčastí dalších faktorů);</w:t>
      </w:r>
    </w:p>
    <w:p w14:paraId="48E39E62" w14:textId="6111E462" w:rsidR="00462CBC" w:rsidRPr="00532835" w:rsidRDefault="00462CBC" w:rsidP="00462CBC">
      <w:pPr>
        <w:pStyle w:val="Odstavecseseznamem"/>
        <w:numPr>
          <w:ilvl w:val="0"/>
          <w:numId w:val="4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odpovídající </w:t>
      </w:r>
      <w:r w:rsidRPr="00532835">
        <w:rPr>
          <w:rFonts w:ascii="Arial" w:hAnsi="Arial" w:cs="Arial"/>
          <w:u w:val="single"/>
        </w:rPr>
        <w:t>technická preventivní opatření</w:t>
      </w:r>
      <w:r w:rsidRPr="00532835">
        <w:rPr>
          <w:rFonts w:ascii="Arial" w:hAnsi="Arial" w:cs="Arial"/>
        </w:rPr>
        <w:t xml:space="preserve"> (mohou příp. nabývat i organizačního charakteru), příp. příslušný zdroj informací (např. </w:t>
      </w:r>
      <w:r w:rsidR="00E94485" w:rsidRPr="00532835">
        <w:rPr>
          <w:rFonts w:ascii="Arial" w:hAnsi="Arial" w:cs="Arial"/>
        </w:rPr>
        <w:t xml:space="preserve">PD, </w:t>
      </w:r>
      <w:r w:rsidRPr="00532835">
        <w:rPr>
          <w:rFonts w:ascii="Arial" w:hAnsi="Arial" w:cs="Arial"/>
        </w:rPr>
        <w:t>V</w:t>
      </w:r>
      <w:r w:rsidR="00E94485" w:rsidRPr="00532835">
        <w:rPr>
          <w:rFonts w:ascii="Arial" w:hAnsi="Arial" w:cs="Arial"/>
        </w:rPr>
        <w:t>99</w:t>
      </w:r>
      <w:r w:rsidRPr="00532835">
        <w:rPr>
          <w:rFonts w:ascii="Arial" w:hAnsi="Arial" w:cs="Arial"/>
        </w:rPr>
        <w:t>);</w:t>
      </w:r>
    </w:p>
    <w:p w14:paraId="5F3FF0CA" w14:textId="77777777" w:rsidR="00462CBC" w:rsidRPr="00532835" w:rsidRDefault="00462CBC" w:rsidP="00462CBC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532835">
        <w:rPr>
          <w:rFonts w:ascii="Arial" w:hAnsi="Arial" w:cs="Arial"/>
          <w:u w:val="single"/>
        </w:rPr>
        <w:t>skutečné zavedení</w:t>
      </w:r>
      <w:r w:rsidRPr="00532835">
        <w:rPr>
          <w:rFonts w:ascii="Arial" w:hAnsi="Arial" w:cs="Arial"/>
        </w:rPr>
        <w:t xml:space="preserve"> těchto opatření (ANO/NE);</w:t>
      </w:r>
    </w:p>
    <w:p w14:paraId="33055165" w14:textId="77777777" w:rsidR="00462CBC" w:rsidRPr="00532835" w:rsidRDefault="00462CBC" w:rsidP="00462CBC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možné postupy pro dlouhodobé </w:t>
      </w:r>
      <w:r w:rsidRPr="00532835">
        <w:rPr>
          <w:rFonts w:ascii="Arial" w:hAnsi="Arial" w:cs="Arial"/>
          <w:u w:val="single"/>
        </w:rPr>
        <w:t>zajištění funkčnosti</w:t>
      </w:r>
      <w:r w:rsidRPr="00532835">
        <w:rPr>
          <w:rFonts w:ascii="Arial" w:hAnsi="Arial" w:cs="Arial"/>
        </w:rPr>
        <w:t xml:space="preserve"> technických preventivních opatření (jejich funkčnost může být narušena lidskou chybou) – tj. </w:t>
      </w:r>
      <w:r w:rsidRPr="00532835">
        <w:rPr>
          <w:rFonts w:ascii="Arial" w:hAnsi="Arial" w:cs="Arial"/>
          <w:u w:val="single"/>
        </w:rPr>
        <w:t>revize, školení</w:t>
      </w:r>
      <w:r w:rsidRPr="00532835">
        <w:rPr>
          <w:rFonts w:ascii="Arial" w:hAnsi="Arial" w:cs="Arial"/>
        </w:rPr>
        <w:t xml:space="preserve">, provádění </w:t>
      </w:r>
      <w:r w:rsidRPr="00532835">
        <w:rPr>
          <w:rFonts w:ascii="Arial" w:hAnsi="Arial" w:cs="Arial"/>
          <w:u w:val="single"/>
        </w:rPr>
        <w:t>pravidelné kontrolní činnosti</w:t>
      </w:r>
      <w:r w:rsidRPr="00532835">
        <w:rPr>
          <w:rFonts w:ascii="Arial" w:hAnsi="Arial" w:cs="Arial"/>
        </w:rPr>
        <w:t xml:space="preserve"> nadřízenými zaměstnanci, zavedený systém </w:t>
      </w:r>
      <w:r w:rsidRPr="00532835">
        <w:rPr>
          <w:rFonts w:ascii="Arial" w:hAnsi="Arial" w:cs="Arial"/>
          <w:u w:val="single"/>
        </w:rPr>
        <w:t>vzájemných kontrol spolupracujících zaměstnanců</w:t>
      </w:r>
      <w:r w:rsidRPr="00532835">
        <w:rPr>
          <w:rFonts w:ascii="Arial" w:hAnsi="Arial" w:cs="Arial"/>
        </w:rPr>
        <w:t xml:space="preserve"> apod.;</w:t>
      </w:r>
    </w:p>
    <w:p w14:paraId="6E106BA0" w14:textId="77777777" w:rsidR="00462CBC" w:rsidRPr="00532835" w:rsidRDefault="00462CBC" w:rsidP="00462CBC">
      <w:pPr>
        <w:pStyle w:val="Odstavecseseznamem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případné </w:t>
      </w:r>
      <w:r w:rsidRPr="00532835">
        <w:rPr>
          <w:rFonts w:ascii="Arial" w:hAnsi="Arial" w:cs="Arial"/>
          <w:u w:val="single"/>
        </w:rPr>
        <w:t>další údaje/poznámky</w:t>
      </w:r>
      <w:r w:rsidRPr="00532835">
        <w:rPr>
          <w:rFonts w:ascii="Arial" w:hAnsi="Arial" w:cs="Arial"/>
        </w:rPr>
        <w:t>.</w:t>
      </w:r>
    </w:p>
    <w:p w14:paraId="06FDD476" w14:textId="77777777" w:rsidR="00462CBC" w:rsidRPr="00532835" w:rsidRDefault="00462CBC" w:rsidP="00462CBC">
      <w:pPr>
        <w:spacing w:before="120" w:after="0" w:line="240" w:lineRule="auto"/>
        <w:jc w:val="both"/>
        <w:rPr>
          <w:rFonts w:ascii="Arial" w:hAnsi="Arial" w:cs="Arial"/>
        </w:rPr>
      </w:pPr>
      <w:r w:rsidRPr="00532835">
        <w:rPr>
          <w:rFonts w:ascii="Arial" w:hAnsi="Arial" w:cs="Arial"/>
        </w:rPr>
        <w:t xml:space="preserve">K záznamům veškerých údajů lze využít níže uvedené </w:t>
      </w:r>
      <w:r w:rsidRPr="00532835">
        <w:rPr>
          <w:rFonts w:ascii="Arial" w:hAnsi="Arial" w:cs="Arial"/>
          <w:u w:val="single"/>
        </w:rPr>
        <w:t>zkratky</w:t>
      </w:r>
      <w:r w:rsidRPr="00532835">
        <w:rPr>
          <w:rFonts w:ascii="Arial" w:hAnsi="Arial" w:cs="Arial"/>
        </w:rPr>
        <w:t>:</w:t>
      </w:r>
    </w:p>
    <w:p w14:paraId="20DE82B4" w14:textId="77777777" w:rsidR="009424CB" w:rsidRPr="00046C9F" w:rsidRDefault="009424CB" w:rsidP="00462CBC">
      <w:pPr>
        <w:spacing w:before="120" w:after="0" w:line="240" w:lineRule="auto"/>
        <w:jc w:val="both"/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846"/>
        <w:gridCol w:w="3252"/>
        <w:gridCol w:w="8"/>
        <w:gridCol w:w="2835"/>
        <w:gridCol w:w="425"/>
        <w:gridCol w:w="521"/>
        <w:gridCol w:w="755"/>
        <w:gridCol w:w="1559"/>
        <w:gridCol w:w="3793"/>
        <w:gridCol w:w="35"/>
      </w:tblGrid>
      <w:tr w:rsidR="008D240F" w:rsidRPr="00CA096D" w14:paraId="155FA048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56A55C8E" w14:textId="172A58C6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BDO</w:t>
            </w:r>
          </w:p>
        </w:tc>
        <w:tc>
          <w:tcPr>
            <w:tcW w:w="6095" w:type="dxa"/>
            <w:gridSpan w:val="3"/>
            <w:vAlign w:val="center"/>
          </w:tcPr>
          <w:p w14:paraId="20DC96DE" w14:textId="53BFA11D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Bezpečnostní dokumentace objektu</w:t>
            </w:r>
          </w:p>
        </w:tc>
        <w:tc>
          <w:tcPr>
            <w:tcW w:w="946" w:type="dxa"/>
            <w:gridSpan w:val="2"/>
            <w:vAlign w:val="center"/>
          </w:tcPr>
          <w:p w14:paraId="49948FF9" w14:textId="500AF918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PD</w:t>
            </w:r>
          </w:p>
        </w:tc>
        <w:tc>
          <w:tcPr>
            <w:tcW w:w="6107" w:type="dxa"/>
            <w:gridSpan w:val="3"/>
            <w:vAlign w:val="center"/>
          </w:tcPr>
          <w:p w14:paraId="63642EAD" w14:textId="5002EB61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Provozní dokumentace</w:t>
            </w:r>
          </w:p>
        </w:tc>
      </w:tr>
      <w:tr w:rsidR="008D240F" w:rsidRPr="00CA096D" w14:paraId="1961D724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6BFC75EA" w14:textId="124C347C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EPS</w:t>
            </w:r>
          </w:p>
        </w:tc>
        <w:tc>
          <w:tcPr>
            <w:tcW w:w="6095" w:type="dxa"/>
            <w:gridSpan w:val="3"/>
            <w:vAlign w:val="center"/>
          </w:tcPr>
          <w:p w14:paraId="4F447F41" w14:textId="10862422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Elektrická požární signalizace</w:t>
            </w:r>
          </w:p>
        </w:tc>
        <w:tc>
          <w:tcPr>
            <w:tcW w:w="946" w:type="dxa"/>
            <w:gridSpan w:val="2"/>
            <w:vAlign w:val="center"/>
          </w:tcPr>
          <w:p w14:paraId="11D2B429" w14:textId="5E402870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PKR</w:t>
            </w:r>
          </w:p>
        </w:tc>
        <w:tc>
          <w:tcPr>
            <w:tcW w:w="6107" w:type="dxa"/>
            <w:gridSpan w:val="3"/>
            <w:vAlign w:val="center"/>
          </w:tcPr>
          <w:p w14:paraId="5B5650AD" w14:textId="5E5C3FCE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Pravidelné a plánované kontroly a revize zařízení</w:t>
            </w:r>
          </w:p>
        </w:tc>
      </w:tr>
      <w:tr w:rsidR="008D240F" w:rsidRPr="00CA096D" w14:paraId="2FFF3B35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0DBBE0ED" w14:textId="26CDE695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EZS</w:t>
            </w:r>
          </w:p>
        </w:tc>
        <w:tc>
          <w:tcPr>
            <w:tcW w:w="6095" w:type="dxa"/>
            <w:gridSpan w:val="3"/>
            <w:vAlign w:val="center"/>
          </w:tcPr>
          <w:p w14:paraId="7BB0A415" w14:textId="4413BB72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Elektronický zabezpečovací systém</w:t>
            </w:r>
          </w:p>
        </w:tc>
        <w:tc>
          <w:tcPr>
            <w:tcW w:w="946" w:type="dxa"/>
            <w:gridSpan w:val="2"/>
            <w:vAlign w:val="center"/>
          </w:tcPr>
          <w:p w14:paraId="4293BE7A" w14:textId="42CC6913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PŘO</w:t>
            </w:r>
          </w:p>
        </w:tc>
        <w:tc>
          <w:tcPr>
            <w:tcW w:w="6107" w:type="dxa"/>
            <w:gridSpan w:val="3"/>
            <w:vAlign w:val="center"/>
          </w:tcPr>
          <w:p w14:paraId="38FF2A1C" w14:textId="36E7C995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Požární řád objektu</w:t>
            </w:r>
          </w:p>
        </w:tc>
      </w:tr>
      <w:tr w:rsidR="008D240F" w:rsidRPr="00CA096D" w14:paraId="52E58BB5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7AD9AE6B" w14:textId="72BB9750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KNZ</w:t>
            </w:r>
          </w:p>
        </w:tc>
        <w:tc>
          <w:tcPr>
            <w:tcW w:w="6095" w:type="dxa"/>
            <w:gridSpan w:val="3"/>
            <w:vAlign w:val="center"/>
          </w:tcPr>
          <w:p w14:paraId="0C0537F5" w14:textId="21A8DD4A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Pravidelné a dokumentované kontroly prováděné nadřízenými zaměstnanci</w:t>
            </w:r>
          </w:p>
        </w:tc>
        <w:tc>
          <w:tcPr>
            <w:tcW w:w="946" w:type="dxa"/>
            <w:gridSpan w:val="2"/>
            <w:vAlign w:val="center"/>
          </w:tcPr>
          <w:p w14:paraId="3F4079DC" w14:textId="7B858D54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RHV</w:t>
            </w:r>
          </w:p>
        </w:tc>
        <w:tc>
          <w:tcPr>
            <w:tcW w:w="6107" w:type="dxa"/>
            <w:gridSpan w:val="3"/>
            <w:vAlign w:val="center"/>
          </w:tcPr>
          <w:p w14:paraId="278FCE2E" w14:textId="4D8BD4E3" w:rsidR="008D240F" w:rsidRPr="00CA096D" w:rsidRDefault="008D240F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Ruční hydraulický vozík</w:t>
            </w:r>
          </w:p>
        </w:tc>
      </w:tr>
      <w:tr w:rsidR="00E94485" w:rsidRPr="00CA096D" w14:paraId="2323E134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37A0F63B" w14:textId="3F0CF1F1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KSZ</w:t>
            </w:r>
          </w:p>
        </w:tc>
        <w:tc>
          <w:tcPr>
            <w:tcW w:w="6095" w:type="dxa"/>
            <w:gridSpan w:val="3"/>
            <w:vAlign w:val="center"/>
          </w:tcPr>
          <w:p w14:paraId="3512F520" w14:textId="6EAA8E0E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Systém vzájemných kontrol spolupracujících zaměstnanců</w:t>
            </w:r>
          </w:p>
        </w:tc>
        <w:tc>
          <w:tcPr>
            <w:tcW w:w="946" w:type="dxa"/>
            <w:gridSpan w:val="2"/>
            <w:vAlign w:val="center"/>
          </w:tcPr>
          <w:p w14:paraId="33528F3D" w14:textId="3D804FE6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</w:t>
            </w:r>
          </w:p>
        </w:tc>
        <w:tc>
          <w:tcPr>
            <w:tcW w:w="6107" w:type="dxa"/>
            <w:gridSpan w:val="3"/>
            <w:vAlign w:val="center"/>
          </w:tcPr>
          <w:p w14:paraId="014DDCFF" w14:textId="7E8600DE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Školení zaměstnanců (v odpovídajících termínech, rozsahu a formě)</w:t>
            </w:r>
          </w:p>
        </w:tc>
      </w:tr>
      <w:tr w:rsidR="00E94485" w:rsidRPr="00CA096D" w14:paraId="1581F5CD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4D7E21FA" w14:textId="0AAEFE52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PCO</w:t>
            </w:r>
          </w:p>
        </w:tc>
        <w:tc>
          <w:tcPr>
            <w:tcW w:w="6095" w:type="dxa"/>
            <w:gridSpan w:val="3"/>
            <w:vAlign w:val="center"/>
          </w:tcPr>
          <w:p w14:paraId="7AEA4710" w14:textId="765F4117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Pult centrální ochrany</w:t>
            </w:r>
          </w:p>
        </w:tc>
        <w:tc>
          <w:tcPr>
            <w:tcW w:w="946" w:type="dxa"/>
            <w:gridSpan w:val="2"/>
            <w:vAlign w:val="center"/>
          </w:tcPr>
          <w:p w14:paraId="08B52973" w14:textId="670E2124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VZV</w:t>
            </w:r>
          </w:p>
        </w:tc>
        <w:tc>
          <w:tcPr>
            <w:tcW w:w="6107" w:type="dxa"/>
            <w:gridSpan w:val="3"/>
            <w:vAlign w:val="center"/>
          </w:tcPr>
          <w:p w14:paraId="2903E557" w14:textId="241A59D1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Vysokozdvižný vozík</w:t>
            </w:r>
          </w:p>
        </w:tc>
      </w:tr>
      <w:tr w:rsidR="00E94485" w:rsidRPr="00CA096D" w14:paraId="2D938479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4F65D30B" w14:textId="4264A6C1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PČR</w:t>
            </w:r>
          </w:p>
        </w:tc>
        <w:tc>
          <w:tcPr>
            <w:tcW w:w="6095" w:type="dxa"/>
            <w:gridSpan w:val="3"/>
            <w:vAlign w:val="center"/>
          </w:tcPr>
          <w:p w14:paraId="105E2950" w14:textId="2A5E02DF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Policie České republiky</w:t>
            </w:r>
          </w:p>
        </w:tc>
        <w:tc>
          <w:tcPr>
            <w:tcW w:w="946" w:type="dxa"/>
            <w:gridSpan w:val="2"/>
            <w:vAlign w:val="center"/>
          </w:tcPr>
          <w:p w14:paraId="07638D26" w14:textId="3D1D5F73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V99</w:t>
            </w:r>
          </w:p>
        </w:tc>
        <w:tc>
          <w:tcPr>
            <w:tcW w:w="6107" w:type="dxa"/>
            <w:gridSpan w:val="3"/>
            <w:vAlign w:val="center"/>
          </w:tcPr>
          <w:p w14:paraId="112AAF4B" w14:textId="2AE3867C" w:rsidR="00E94485" w:rsidRPr="00CA096D" w:rsidRDefault="00E94485" w:rsidP="00E94485">
            <w:pPr>
              <w:spacing w:before="120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Vyhláška 99/1995 Sb. </w:t>
            </w:r>
          </w:p>
        </w:tc>
      </w:tr>
      <w:tr w:rsidR="001C331C" w:rsidRPr="00CA096D" w14:paraId="4BFACAEC" w14:textId="77777777" w:rsidTr="00CA096D">
        <w:trPr>
          <w:gridAfter w:val="1"/>
          <w:wAfter w:w="35" w:type="dxa"/>
        </w:trPr>
        <w:tc>
          <w:tcPr>
            <w:tcW w:w="409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ADF701" w14:textId="3BC9F24B" w:rsidR="001C331C" w:rsidRPr="00CA096D" w:rsidRDefault="001C331C" w:rsidP="001C331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A096D">
              <w:rPr>
                <w:rFonts w:ascii="Arial" w:hAnsi="Arial" w:cs="Arial"/>
                <w:b/>
              </w:rPr>
              <w:lastRenderedPageBreak/>
              <w:br/>
            </w:r>
            <w:r w:rsidRPr="00CA096D">
              <w:rPr>
                <w:rFonts w:ascii="Arial" w:hAnsi="Arial" w:cs="Arial"/>
                <w:b/>
                <w:sz w:val="28"/>
                <w:szCs w:val="28"/>
              </w:rPr>
              <w:t>CHECKLIST</w:t>
            </w:r>
          </w:p>
          <w:p w14:paraId="7844648C" w14:textId="77777777" w:rsidR="001C331C" w:rsidRPr="00CA096D" w:rsidRDefault="001C331C" w:rsidP="001C331C">
            <w:pPr>
              <w:rPr>
                <w:rFonts w:ascii="Arial" w:hAnsi="Arial" w:cs="Arial"/>
                <w:b/>
              </w:rPr>
            </w:pPr>
          </w:p>
        </w:tc>
        <w:tc>
          <w:tcPr>
            <w:tcW w:w="610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3170D" w14:textId="7748E3BC" w:rsidR="001C331C" w:rsidRPr="00CA096D" w:rsidRDefault="001C331C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>TECHNICKÁ PREVENTIVNÍ OPATŘENÍ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805FE" w14:textId="77777777" w:rsidR="001C331C" w:rsidRPr="00CA096D" w:rsidRDefault="001C331C" w:rsidP="00AB1CF3">
            <w:pPr>
              <w:rPr>
                <w:rFonts w:ascii="Arial" w:hAnsi="Arial" w:cs="Arial"/>
                <w:b/>
              </w:rPr>
            </w:pPr>
          </w:p>
        </w:tc>
      </w:tr>
      <w:tr w:rsidR="00AB1CF3" w:rsidRPr="00CA096D" w14:paraId="08643CB6" w14:textId="77777777" w:rsidTr="00CA096D">
        <w:trPr>
          <w:gridAfter w:val="1"/>
          <w:wAfter w:w="35" w:type="dxa"/>
        </w:trPr>
        <w:tc>
          <w:tcPr>
            <w:tcW w:w="846" w:type="dxa"/>
            <w:shd w:val="clear" w:color="auto" w:fill="auto"/>
            <w:vAlign w:val="center"/>
          </w:tcPr>
          <w:p w14:paraId="6F479DEB" w14:textId="77777777" w:rsidR="00AB1CF3" w:rsidRPr="000827BE" w:rsidRDefault="00AB1CF3" w:rsidP="00AB1CF3">
            <w:pPr>
              <w:rPr>
                <w:b/>
              </w:rPr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č. </w:t>
            </w:r>
            <w:proofErr w:type="spellStart"/>
            <w:r>
              <w:rPr>
                <w:b/>
              </w:rPr>
              <w:t>opatř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29822693" w14:textId="7671C933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 xml:space="preserve">a) </w:t>
            </w:r>
            <w:r w:rsidR="00D16C4D" w:rsidRPr="00CA096D">
              <w:rPr>
                <w:rFonts w:ascii="Arial" w:hAnsi="Arial" w:cs="Arial"/>
                <w:b/>
              </w:rPr>
              <w:t>NEBEZPEČNÝ STAV/SITUACE</w:t>
            </w:r>
          </w:p>
        </w:tc>
        <w:tc>
          <w:tcPr>
            <w:tcW w:w="3268" w:type="dxa"/>
            <w:gridSpan w:val="3"/>
            <w:shd w:val="clear" w:color="auto" w:fill="auto"/>
            <w:vAlign w:val="center"/>
          </w:tcPr>
          <w:p w14:paraId="010EA5F4" w14:textId="77777777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>b) Opatření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013F3C" w14:textId="77777777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 xml:space="preserve">c) ANO/NE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E3A01E" w14:textId="20808710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  <w:color w:val="0070C0"/>
              </w:rPr>
              <w:t>d) Zajištění funkčnosti</w:t>
            </w:r>
            <w:r w:rsidR="00891D2B" w:rsidRPr="00CA096D">
              <w:rPr>
                <w:rFonts w:ascii="Arial" w:hAnsi="Arial" w:cs="Arial"/>
                <w:b/>
                <w:color w:val="0070C0"/>
              </w:rPr>
              <w:t> *)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3824A2C" w14:textId="77777777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br/>
              <w:t xml:space="preserve">e) Další údaje, poznámky </w:t>
            </w:r>
            <w:r w:rsidRPr="00CA096D">
              <w:rPr>
                <w:rFonts w:ascii="Arial" w:hAnsi="Arial" w:cs="Arial"/>
                <w:b/>
              </w:rPr>
              <w:br/>
            </w:r>
          </w:p>
        </w:tc>
      </w:tr>
      <w:tr w:rsidR="00AB1CF3" w:rsidRPr="00CA096D" w14:paraId="440F8946" w14:textId="77777777" w:rsidTr="00CA096D">
        <w:trPr>
          <w:gridAfter w:val="1"/>
          <w:wAfter w:w="35" w:type="dxa"/>
        </w:trPr>
        <w:tc>
          <w:tcPr>
            <w:tcW w:w="13994" w:type="dxa"/>
            <w:gridSpan w:val="9"/>
            <w:shd w:val="clear" w:color="auto" w:fill="D9D9D9" w:themeFill="background1" w:themeFillShade="D9"/>
            <w:vAlign w:val="center"/>
          </w:tcPr>
          <w:p w14:paraId="0879CF3A" w14:textId="77777777" w:rsidR="00AB1CF3" w:rsidRPr="00CA096D" w:rsidRDefault="00AB1CF3" w:rsidP="00AB1CF3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>Manipulace a skladování výbušnin</w:t>
            </w:r>
          </w:p>
        </w:tc>
      </w:tr>
      <w:tr w:rsidR="00AB1CF3" w:rsidRPr="00CA096D" w14:paraId="319E8096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2312102B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  <w:vAlign w:val="center"/>
          </w:tcPr>
          <w:p w14:paraId="07031997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Překročení obložení skladu</w:t>
            </w:r>
          </w:p>
        </w:tc>
        <w:tc>
          <w:tcPr>
            <w:tcW w:w="3268" w:type="dxa"/>
            <w:gridSpan w:val="3"/>
            <w:vAlign w:val="center"/>
          </w:tcPr>
          <w:p w14:paraId="1CF972C6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28B4E342" w14:textId="46477743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E7F1FD6" w14:textId="384623C9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ŠZ, </w:t>
            </w:r>
            <w:r w:rsidR="00E94485" w:rsidRPr="00CA096D">
              <w:rPr>
                <w:rFonts w:ascii="Arial" w:hAnsi="Arial" w:cs="Arial"/>
              </w:rPr>
              <w:t>KNZ</w:t>
            </w:r>
          </w:p>
        </w:tc>
        <w:tc>
          <w:tcPr>
            <w:tcW w:w="3793" w:type="dxa"/>
          </w:tcPr>
          <w:p w14:paraId="2DF52BCF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5A33DB5F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28B7D2E9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  <w:vAlign w:val="center"/>
          </w:tcPr>
          <w:p w14:paraId="2F22F502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Nesprávný způsob uložení ve skladu</w:t>
            </w:r>
          </w:p>
        </w:tc>
        <w:tc>
          <w:tcPr>
            <w:tcW w:w="3268" w:type="dxa"/>
            <w:gridSpan w:val="3"/>
            <w:vAlign w:val="center"/>
          </w:tcPr>
          <w:p w14:paraId="6B1E28B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(V99)</w:t>
            </w:r>
          </w:p>
        </w:tc>
        <w:tc>
          <w:tcPr>
            <w:tcW w:w="1276" w:type="dxa"/>
            <w:gridSpan w:val="2"/>
            <w:vAlign w:val="center"/>
          </w:tcPr>
          <w:p w14:paraId="7F0BD567" w14:textId="3EB73150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406DF29" w14:textId="18A89E72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6ABDC6C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4E9FC49E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273B7F0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  <w:vAlign w:val="center"/>
          </w:tcPr>
          <w:p w14:paraId="7C641F4A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Uložení výbušnin neschválené třídy a skupiny nebezpečí</w:t>
            </w:r>
          </w:p>
        </w:tc>
        <w:tc>
          <w:tcPr>
            <w:tcW w:w="3268" w:type="dxa"/>
            <w:gridSpan w:val="3"/>
            <w:vAlign w:val="center"/>
          </w:tcPr>
          <w:p w14:paraId="2811676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3EB978B8" w14:textId="14EB9A1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C59068E" w14:textId="4DFBF019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ŠZ, KNZ</w:t>
            </w:r>
          </w:p>
        </w:tc>
        <w:tc>
          <w:tcPr>
            <w:tcW w:w="3793" w:type="dxa"/>
          </w:tcPr>
          <w:p w14:paraId="2E5D5C04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69A941EF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6246BFF5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  <w:vAlign w:val="center"/>
          </w:tcPr>
          <w:p w14:paraId="4F3EFCAF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Porušení zásad společného skladování výbušnin</w:t>
            </w:r>
          </w:p>
        </w:tc>
        <w:tc>
          <w:tcPr>
            <w:tcW w:w="3268" w:type="dxa"/>
            <w:gridSpan w:val="3"/>
            <w:vAlign w:val="center"/>
          </w:tcPr>
          <w:p w14:paraId="3E70A7E1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(V99, PD)</w:t>
            </w:r>
          </w:p>
        </w:tc>
        <w:tc>
          <w:tcPr>
            <w:tcW w:w="1276" w:type="dxa"/>
            <w:gridSpan w:val="2"/>
            <w:vAlign w:val="center"/>
          </w:tcPr>
          <w:p w14:paraId="02E54892" w14:textId="2D831788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11DB6BF" w14:textId="1E41756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5BF88F96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5B3409CE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D5362DD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  <w:vAlign w:val="center"/>
          </w:tcPr>
          <w:p w14:paraId="2304877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Uložení výbušnin v závadných obalech (poškozené obaly, nejasné označení, prošlá doba spotřeby)</w:t>
            </w:r>
          </w:p>
        </w:tc>
        <w:tc>
          <w:tcPr>
            <w:tcW w:w="3268" w:type="dxa"/>
            <w:gridSpan w:val="3"/>
            <w:vAlign w:val="center"/>
          </w:tcPr>
          <w:p w14:paraId="7FCE79A8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(V99, PD)</w:t>
            </w:r>
          </w:p>
        </w:tc>
        <w:tc>
          <w:tcPr>
            <w:tcW w:w="1276" w:type="dxa"/>
            <w:gridSpan w:val="2"/>
            <w:vAlign w:val="center"/>
          </w:tcPr>
          <w:p w14:paraId="2F1E2B87" w14:textId="192A9892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3789982" w14:textId="5041C34A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34A5E44C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297A0A0E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766907A3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  <w:vAlign w:val="center"/>
          </w:tcPr>
          <w:p w14:paraId="3656F652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Nešetrná ruční manipulace </w:t>
            </w:r>
          </w:p>
        </w:tc>
        <w:tc>
          <w:tcPr>
            <w:tcW w:w="3268" w:type="dxa"/>
            <w:gridSpan w:val="3"/>
            <w:vAlign w:val="center"/>
          </w:tcPr>
          <w:p w14:paraId="4134763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(V99, PD)</w:t>
            </w:r>
          </w:p>
        </w:tc>
        <w:tc>
          <w:tcPr>
            <w:tcW w:w="1276" w:type="dxa"/>
            <w:gridSpan w:val="2"/>
            <w:vAlign w:val="center"/>
          </w:tcPr>
          <w:p w14:paraId="14A8E2D2" w14:textId="122BDC8D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E1251E8" w14:textId="37F0B7FE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ŠZ, KSZ, KNZ</w:t>
            </w:r>
          </w:p>
        </w:tc>
        <w:tc>
          <w:tcPr>
            <w:tcW w:w="3793" w:type="dxa"/>
          </w:tcPr>
          <w:p w14:paraId="0FDCECE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7F5BB8B6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01F0643" w14:textId="7B786601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  <w:vAlign w:val="center"/>
          </w:tcPr>
          <w:p w14:paraId="113FED3E" w14:textId="35577B6D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Porušení těsnosti obalu</w:t>
            </w:r>
          </w:p>
        </w:tc>
        <w:tc>
          <w:tcPr>
            <w:tcW w:w="3268" w:type="dxa"/>
            <w:gridSpan w:val="3"/>
            <w:vAlign w:val="center"/>
          </w:tcPr>
          <w:p w14:paraId="5C7D2024" w14:textId="23D7FC85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postup (PD)</w:t>
            </w:r>
          </w:p>
        </w:tc>
        <w:tc>
          <w:tcPr>
            <w:tcW w:w="1276" w:type="dxa"/>
            <w:gridSpan w:val="2"/>
            <w:vAlign w:val="center"/>
          </w:tcPr>
          <w:p w14:paraId="4746DCE5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495128A" w14:textId="3D6A7E09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ŠZ, KSZ, KNZ</w:t>
            </w:r>
          </w:p>
        </w:tc>
        <w:tc>
          <w:tcPr>
            <w:tcW w:w="3793" w:type="dxa"/>
          </w:tcPr>
          <w:p w14:paraId="65F4E756" w14:textId="7F79E50F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Odstranění rozsypané výbušniny</w:t>
            </w:r>
          </w:p>
        </w:tc>
      </w:tr>
      <w:tr w:rsidR="00AB1CF3" w:rsidRPr="00CA096D" w14:paraId="7DECAB66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E588EA2" w14:textId="54EE419A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  <w:vAlign w:val="center"/>
          </w:tcPr>
          <w:p w14:paraId="46649306" w14:textId="05196CE8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Porušení těsnosti obalu</w:t>
            </w:r>
          </w:p>
        </w:tc>
        <w:tc>
          <w:tcPr>
            <w:tcW w:w="3268" w:type="dxa"/>
            <w:gridSpan w:val="3"/>
            <w:vAlign w:val="center"/>
          </w:tcPr>
          <w:p w14:paraId="1B693389" w14:textId="37EADC91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postup (PD)</w:t>
            </w:r>
          </w:p>
        </w:tc>
        <w:tc>
          <w:tcPr>
            <w:tcW w:w="1276" w:type="dxa"/>
            <w:gridSpan w:val="2"/>
            <w:vAlign w:val="center"/>
          </w:tcPr>
          <w:p w14:paraId="2DEAC6E4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2DCF48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19E3890" w14:textId="7B5B7E5B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Odstranění poškozeného balení</w:t>
            </w:r>
          </w:p>
        </w:tc>
      </w:tr>
      <w:tr w:rsidR="00AB1CF3" w:rsidRPr="00CA096D" w14:paraId="2BDFC05E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4CA23D8E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  <w:vAlign w:val="center"/>
          </w:tcPr>
          <w:p w14:paraId="072049F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Nešetrná dopravní manipulace</w:t>
            </w:r>
          </w:p>
        </w:tc>
        <w:tc>
          <w:tcPr>
            <w:tcW w:w="3268" w:type="dxa"/>
            <w:gridSpan w:val="3"/>
            <w:vAlign w:val="center"/>
          </w:tcPr>
          <w:p w14:paraId="7CC2CA0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57CDFA1C" w14:textId="6B666591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400F697" w14:textId="0D789CDE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0400C059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0DA1E9F8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41E3AC2B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  <w:vAlign w:val="center"/>
          </w:tcPr>
          <w:p w14:paraId="5650B52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Nesprávné použití VZV</w:t>
            </w:r>
          </w:p>
        </w:tc>
        <w:tc>
          <w:tcPr>
            <w:tcW w:w="3268" w:type="dxa"/>
            <w:gridSpan w:val="3"/>
            <w:vAlign w:val="center"/>
          </w:tcPr>
          <w:p w14:paraId="71436B18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42705933" w14:textId="52536B6D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B1ADF81" w14:textId="67269C08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00FD39E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4D5004D5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7998D4A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11</w:t>
            </w:r>
          </w:p>
        </w:tc>
        <w:tc>
          <w:tcPr>
            <w:tcW w:w="3252" w:type="dxa"/>
            <w:vAlign w:val="center"/>
          </w:tcPr>
          <w:p w14:paraId="78CE05B7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Závadný stav VZV</w:t>
            </w:r>
          </w:p>
        </w:tc>
        <w:tc>
          <w:tcPr>
            <w:tcW w:w="3268" w:type="dxa"/>
            <w:gridSpan w:val="3"/>
            <w:vAlign w:val="center"/>
          </w:tcPr>
          <w:p w14:paraId="12BE3E06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Definován správný stav/postup (PD) </w:t>
            </w:r>
          </w:p>
        </w:tc>
        <w:tc>
          <w:tcPr>
            <w:tcW w:w="1276" w:type="dxa"/>
            <w:gridSpan w:val="2"/>
            <w:vAlign w:val="center"/>
          </w:tcPr>
          <w:p w14:paraId="275E23B4" w14:textId="48922CB6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18C7AB8" w14:textId="1FF19838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ŠZ, PKR, KNZ</w:t>
            </w:r>
          </w:p>
        </w:tc>
        <w:tc>
          <w:tcPr>
            <w:tcW w:w="3793" w:type="dxa"/>
          </w:tcPr>
          <w:p w14:paraId="654CC5E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02DF8514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1D62CC8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12</w:t>
            </w:r>
          </w:p>
        </w:tc>
        <w:tc>
          <w:tcPr>
            <w:tcW w:w="3252" w:type="dxa"/>
            <w:vAlign w:val="center"/>
          </w:tcPr>
          <w:p w14:paraId="6080C07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Nesprávný způsob jízdy s tahačem</w:t>
            </w:r>
          </w:p>
        </w:tc>
        <w:tc>
          <w:tcPr>
            <w:tcW w:w="3268" w:type="dxa"/>
            <w:gridSpan w:val="3"/>
            <w:vAlign w:val="center"/>
          </w:tcPr>
          <w:p w14:paraId="466527FE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31BC1809" w14:textId="2ACA1E6E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7F2E62B" w14:textId="68825DCE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5C74AB61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7ABF5040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540105C3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252" w:type="dxa"/>
            <w:vAlign w:val="center"/>
          </w:tcPr>
          <w:p w14:paraId="4646FE35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Nesprávný způsob připojení vozíků za tahačem</w:t>
            </w:r>
          </w:p>
        </w:tc>
        <w:tc>
          <w:tcPr>
            <w:tcW w:w="3268" w:type="dxa"/>
            <w:gridSpan w:val="3"/>
            <w:vAlign w:val="center"/>
          </w:tcPr>
          <w:p w14:paraId="2C93051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1F37AC16" w14:textId="26FE3369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5D18236" w14:textId="6C559A53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417D30A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22F146DF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8769732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14</w:t>
            </w:r>
          </w:p>
        </w:tc>
        <w:tc>
          <w:tcPr>
            <w:tcW w:w="3252" w:type="dxa"/>
            <w:vAlign w:val="center"/>
          </w:tcPr>
          <w:p w14:paraId="18931B07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Závadný stav tahače </w:t>
            </w:r>
          </w:p>
        </w:tc>
        <w:tc>
          <w:tcPr>
            <w:tcW w:w="3268" w:type="dxa"/>
            <w:gridSpan w:val="3"/>
            <w:vAlign w:val="center"/>
          </w:tcPr>
          <w:p w14:paraId="5E80A86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08C9F8A7" w14:textId="010707A2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754C1BC" w14:textId="2B0E50F9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999237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6F2DB047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D38A1EB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15</w:t>
            </w:r>
          </w:p>
        </w:tc>
        <w:tc>
          <w:tcPr>
            <w:tcW w:w="3252" w:type="dxa"/>
            <w:vAlign w:val="center"/>
          </w:tcPr>
          <w:p w14:paraId="20A88419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Závadný stav vozíků </w:t>
            </w:r>
          </w:p>
        </w:tc>
        <w:tc>
          <w:tcPr>
            <w:tcW w:w="3268" w:type="dxa"/>
            <w:gridSpan w:val="3"/>
            <w:vAlign w:val="center"/>
          </w:tcPr>
          <w:p w14:paraId="7BE070BF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6C523C08" w14:textId="05BC8615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9D5E76F" w14:textId="5F452CCF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0E1C4FCA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4FBB47D2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46D080F7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16</w:t>
            </w:r>
          </w:p>
        </w:tc>
        <w:tc>
          <w:tcPr>
            <w:tcW w:w="3252" w:type="dxa"/>
            <w:vAlign w:val="center"/>
          </w:tcPr>
          <w:p w14:paraId="47F0503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Zajíždění tahače/VZV dovnitř skladu</w:t>
            </w:r>
          </w:p>
        </w:tc>
        <w:tc>
          <w:tcPr>
            <w:tcW w:w="3268" w:type="dxa"/>
            <w:gridSpan w:val="3"/>
            <w:vAlign w:val="center"/>
          </w:tcPr>
          <w:p w14:paraId="6942D2B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 xml:space="preserve">Definován správný stav/postup: Zákaz (PD) </w:t>
            </w:r>
          </w:p>
        </w:tc>
        <w:tc>
          <w:tcPr>
            <w:tcW w:w="1276" w:type="dxa"/>
            <w:gridSpan w:val="2"/>
            <w:vAlign w:val="center"/>
          </w:tcPr>
          <w:p w14:paraId="439B2DF8" w14:textId="2C7077E6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33F5B5C" w14:textId="3971E3D4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ŠZ, KSZ, KNZ</w:t>
            </w:r>
          </w:p>
        </w:tc>
        <w:tc>
          <w:tcPr>
            <w:tcW w:w="3793" w:type="dxa"/>
          </w:tcPr>
          <w:p w14:paraId="20A0B137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4AB9D764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5EBF3002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17</w:t>
            </w:r>
          </w:p>
        </w:tc>
        <w:tc>
          <w:tcPr>
            <w:tcW w:w="3252" w:type="dxa"/>
            <w:vAlign w:val="center"/>
          </w:tcPr>
          <w:p w14:paraId="67A1AC11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Závadný stav RHV</w:t>
            </w:r>
          </w:p>
        </w:tc>
        <w:tc>
          <w:tcPr>
            <w:tcW w:w="3268" w:type="dxa"/>
            <w:gridSpan w:val="3"/>
            <w:vAlign w:val="center"/>
          </w:tcPr>
          <w:p w14:paraId="4053053B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vAlign w:val="center"/>
          </w:tcPr>
          <w:p w14:paraId="4BFC8857" w14:textId="71B46E3A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075EA1" w14:textId="306AFA3A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5FC604FA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20E86329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234B8CFC" w14:textId="7196BC3B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18</w:t>
            </w:r>
          </w:p>
        </w:tc>
        <w:tc>
          <w:tcPr>
            <w:tcW w:w="3252" w:type="dxa"/>
            <w:vAlign w:val="center"/>
          </w:tcPr>
          <w:p w14:paraId="246C5B44" w14:textId="37139111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Požár skladu nebo okolí</w:t>
            </w:r>
          </w:p>
        </w:tc>
        <w:tc>
          <w:tcPr>
            <w:tcW w:w="3268" w:type="dxa"/>
            <w:gridSpan w:val="3"/>
            <w:vAlign w:val="center"/>
          </w:tcPr>
          <w:p w14:paraId="6BF610A0" w14:textId="2FFC7BE3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Vlastní podniková jednotka HZS</w:t>
            </w:r>
            <w:r w:rsidR="008D240F" w:rsidRPr="00CA096D">
              <w:rPr>
                <w:rFonts w:ascii="Arial" w:hAnsi="Arial" w:cs="Arial"/>
              </w:rPr>
              <w:t xml:space="preserve"> (PŘO)</w:t>
            </w:r>
          </w:p>
        </w:tc>
        <w:tc>
          <w:tcPr>
            <w:tcW w:w="1276" w:type="dxa"/>
            <w:gridSpan w:val="2"/>
            <w:vAlign w:val="center"/>
          </w:tcPr>
          <w:p w14:paraId="59E8AA8E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DE40119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3F0AEB0F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6E5275C2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9DC652A" w14:textId="625D2B55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19</w:t>
            </w:r>
          </w:p>
        </w:tc>
        <w:tc>
          <w:tcPr>
            <w:tcW w:w="3252" w:type="dxa"/>
            <w:vAlign w:val="center"/>
          </w:tcPr>
          <w:p w14:paraId="3721B7FA" w14:textId="04B0F81F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Požár skladu nebo okolí</w:t>
            </w:r>
          </w:p>
        </w:tc>
        <w:tc>
          <w:tcPr>
            <w:tcW w:w="3268" w:type="dxa"/>
            <w:gridSpan w:val="3"/>
            <w:vAlign w:val="center"/>
          </w:tcPr>
          <w:p w14:paraId="239BC2BF" w14:textId="0520EC36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Předepsané protipožární vybavení včetně zdrojů vody (V99, PD)</w:t>
            </w:r>
          </w:p>
        </w:tc>
        <w:tc>
          <w:tcPr>
            <w:tcW w:w="1276" w:type="dxa"/>
            <w:gridSpan w:val="2"/>
            <w:vAlign w:val="center"/>
          </w:tcPr>
          <w:p w14:paraId="298AD375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DDF0093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7F25F5C5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07095FDB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1391B94" w14:textId="005E7C64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20</w:t>
            </w:r>
          </w:p>
        </w:tc>
        <w:tc>
          <w:tcPr>
            <w:tcW w:w="3252" w:type="dxa"/>
            <w:vAlign w:val="center"/>
          </w:tcPr>
          <w:p w14:paraId="56E3B483" w14:textId="142B608E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Požár skladu nebo okolí</w:t>
            </w:r>
          </w:p>
        </w:tc>
        <w:tc>
          <w:tcPr>
            <w:tcW w:w="3268" w:type="dxa"/>
            <w:gridSpan w:val="3"/>
            <w:vAlign w:val="center"/>
          </w:tcPr>
          <w:p w14:paraId="7890E4D2" w14:textId="12AE651F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Zákaz kouření mimo vyhrazený prostor (V99, PD)</w:t>
            </w:r>
          </w:p>
        </w:tc>
        <w:tc>
          <w:tcPr>
            <w:tcW w:w="1276" w:type="dxa"/>
            <w:gridSpan w:val="2"/>
            <w:vAlign w:val="center"/>
          </w:tcPr>
          <w:p w14:paraId="69A74752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167F885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CB5D717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4F860A3C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21D449F0" w14:textId="72C3DF25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21</w:t>
            </w:r>
          </w:p>
        </w:tc>
        <w:tc>
          <w:tcPr>
            <w:tcW w:w="3252" w:type="dxa"/>
            <w:vAlign w:val="center"/>
          </w:tcPr>
          <w:p w14:paraId="682532E2" w14:textId="5F23F044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Požár skladu nebo okolí</w:t>
            </w:r>
          </w:p>
        </w:tc>
        <w:tc>
          <w:tcPr>
            <w:tcW w:w="3268" w:type="dxa"/>
            <w:gridSpan w:val="3"/>
            <w:vAlign w:val="center"/>
          </w:tcPr>
          <w:p w14:paraId="761DF8DE" w14:textId="0D36ECAE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Povinnost odevzdat zápalky a zapalovače před vstupem (PD)</w:t>
            </w:r>
          </w:p>
        </w:tc>
        <w:tc>
          <w:tcPr>
            <w:tcW w:w="1276" w:type="dxa"/>
            <w:gridSpan w:val="2"/>
            <w:vAlign w:val="center"/>
          </w:tcPr>
          <w:p w14:paraId="76E144A5" w14:textId="77777777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1372A4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7421CB6D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348B81CE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195DD835" w14:textId="7D1322FE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</w:t>
            </w:r>
            <w:r w:rsidR="008D240F" w:rsidRPr="00CA096D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  <w:vAlign w:val="center"/>
          </w:tcPr>
          <w:p w14:paraId="403C25CC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Výboj statické elektřiny během manipulací uvnitř skladu</w:t>
            </w:r>
          </w:p>
        </w:tc>
        <w:tc>
          <w:tcPr>
            <w:tcW w:w="3268" w:type="dxa"/>
            <w:gridSpan w:val="3"/>
            <w:vAlign w:val="center"/>
          </w:tcPr>
          <w:p w14:paraId="5E82D3F5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Vodivé propojení kovových částí na zemnící síť (V99, PD)</w:t>
            </w:r>
          </w:p>
        </w:tc>
        <w:tc>
          <w:tcPr>
            <w:tcW w:w="1276" w:type="dxa"/>
            <w:gridSpan w:val="2"/>
            <w:vAlign w:val="center"/>
          </w:tcPr>
          <w:p w14:paraId="5C0A3778" w14:textId="328FCA95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EFECBCA" w14:textId="68EAA6F2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PKR, KNZ</w:t>
            </w:r>
          </w:p>
        </w:tc>
        <w:tc>
          <w:tcPr>
            <w:tcW w:w="3793" w:type="dxa"/>
          </w:tcPr>
          <w:p w14:paraId="5FDCCC03" w14:textId="77777777" w:rsidR="00AB1CF3" w:rsidRPr="00CA096D" w:rsidRDefault="00AB1CF3" w:rsidP="00AB1CF3">
            <w:pPr>
              <w:rPr>
                <w:rFonts w:ascii="Arial" w:hAnsi="Arial" w:cs="Arial"/>
              </w:rPr>
            </w:pPr>
          </w:p>
        </w:tc>
      </w:tr>
      <w:tr w:rsidR="00AB1CF3" w:rsidRPr="00CA096D" w14:paraId="1C157D67" w14:textId="77777777" w:rsidTr="00CA096D">
        <w:trPr>
          <w:gridAfter w:val="1"/>
          <w:wAfter w:w="35" w:type="dxa"/>
        </w:trPr>
        <w:tc>
          <w:tcPr>
            <w:tcW w:w="846" w:type="dxa"/>
            <w:vAlign w:val="center"/>
          </w:tcPr>
          <w:p w14:paraId="66FF9932" w14:textId="451A05D3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</w:t>
            </w:r>
            <w:r w:rsidR="008D240F" w:rsidRPr="00CA096D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  <w:vAlign w:val="center"/>
          </w:tcPr>
          <w:p w14:paraId="76A4F970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Účinky blesku</w:t>
            </w:r>
          </w:p>
        </w:tc>
        <w:tc>
          <w:tcPr>
            <w:tcW w:w="3268" w:type="dxa"/>
            <w:gridSpan w:val="3"/>
            <w:vAlign w:val="center"/>
          </w:tcPr>
          <w:p w14:paraId="32023B91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Zařízení pro ochranu proti účinkům blesku (V99, PD)</w:t>
            </w:r>
          </w:p>
        </w:tc>
        <w:tc>
          <w:tcPr>
            <w:tcW w:w="1276" w:type="dxa"/>
            <w:gridSpan w:val="2"/>
            <w:vAlign w:val="center"/>
          </w:tcPr>
          <w:p w14:paraId="1AB40983" w14:textId="515B8434" w:rsidR="00AB1CF3" w:rsidRPr="00CA096D" w:rsidRDefault="00AB1CF3" w:rsidP="00AB1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DDA648" w14:textId="31D7E5C8" w:rsidR="00AB1CF3" w:rsidRPr="00CA096D" w:rsidRDefault="00891D2B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PKR, KNZ</w:t>
            </w:r>
          </w:p>
        </w:tc>
        <w:tc>
          <w:tcPr>
            <w:tcW w:w="3793" w:type="dxa"/>
          </w:tcPr>
          <w:p w14:paraId="5D40DAC4" w14:textId="77777777" w:rsidR="00AB1CF3" w:rsidRPr="00CA096D" w:rsidRDefault="00AB1CF3" w:rsidP="00AB1CF3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Faradayova síť, nověji vzdálené hromosvody</w:t>
            </w:r>
          </w:p>
        </w:tc>
      </w:tr>
      <w:tr w:rsidR="003250E6" w:rsidRPr="000827BE" w14:paraId="72B5FCD2" w14:textId="77777777" w:rsidTr="00CA096D">
        <w:tc>
          <w:tcPr>
            <w:tcW w:w="14029" w:type="dxa"/>
            <w:gridSpan w:val="10"/>
            <w:shd w:val="clear" w:color="auto" w:fill="D9D9D9" w:themeFill="background1" w:themeFillShade="D9"/>
            <w:vAlign w:val="center"/>
          </w:tcPr>
          <w:p w14:paraId="0452ACA6" w14:textId="77777777" w:rsidR="003250E6" w:rsidRPr="00CA096D" w:rsidRDefault="003250E6" w:rsidP="00715024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>Prostředí uvnitř skladu</w:t>
            </w:r>
          </w:p>
        </w:tc>
      </w:tr>
      <w:tr w:rsidR="00CC1418" w14:paraId="36178A9C" w14:textId="77777777" w:rsidTr="00CA096D">
        <w:tc>
          <w:tcPr>
            <w:tcW w:w="846" w:type="dxa"/>
            <w:vAlign w:val="center"/>
          </w:tcPr>
          <w:p w14:paraId="4AB0FE0C" w14:textId="4472ECC0" w:rsidR="00CC1418" w:rsidRPr="00CA096D" w:rsidRDefault="00CC1418" w:rsidP="00D729EE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</w:t>
            </w:r>
            <w:r w:rsidR="008D240F" w:rsidRPr="00CA096D">
              <w:rPr>
                <w:rFonts w:ascii="Arial" w:hAnsi="Arial" w:cs="Arial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30EF2A5" w14:textId="77777777" w:rsidR="00CC1418" w:rsidRPr="00CA096D" w:rsidRDefault="00CC1418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Nepořádek, nečistota</w:t>
            </w:r>
          </w:p>
        </w:tc>
        <w:tc>
          <w:tcPr>
            <w:tcW w:w="3260" w:type="dxa"/>
            <w:gridSpan w:val="2"/>
            <w:vAlign w:val="center"/>
          </w:tcPr>
          <w:p w14:paraId="6F7F6713" w14:textId="77777777" w:rsidR="00CC1418" w:rsidRPr="00CA096D" w:rsidRDefault="00CC1418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(V99, PD)</w:t>
            </w:r>
          </w:p>
        </w:tc>
        <w:tc>
          <w:tcPr>
            <w:tcW w:w="1276" w:type="dxa"/>
            <w:gridSpan w:val="2"/>
            <w:vAlign w:val="center"/>
          </w:tcPr>
          <w:p w14:paraId="05A23A85" w14:textId="536A5787" w:rsidR="00CC1418" w:rsidRPr="00CA096D" w:rsidRDefault="00CC1418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ABB90A" w14:textId="594A1C18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45E67B5D" w14:textId="77777777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</w:tr>
      <w:tr w:rsidR="00CC1418" w14:paraId="56C89013" w14:textId="77777777" w:rsidTr="00CA096D">
        <w:tc>
          <w:tcPr>
            <w:tcW w:w="846" w:type="dxa"/>
            <w:vAlign w:val="center"/>
          </w:tcPr>
          <w:p w14:paraId="402D44C2" w14:textId="507BEB3A" w:rsidR="00CC1418" w:rsidRPr="00CA096D" w:rsidRDefault="00CC1418" w:rsidP="00D729EE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</w:t>
            </w:r>
            <w:r w:rsidR="008D240F" w:rsidRPr="00CA096D">
              <w:rPr>
                <w:rFonts w:ascii="Arial" w:hAnsi="Arial" w:cs="Arial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23B3A843" w14:textId="77777777" w:rsidR="00CC1418" w:rsidRPr="00CA096D" w:rsidRDefault="00CC1418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Nevhodné, neschválené nebo špatně umístěné nářadí/vybavení</w:t>
            </w:r>
          </w:p>
        </w:tc>
        <w:tc>
          <w:tcPr>
            <w:tcW w:w="3260" w:type="dxa"/>
            <w:gridSpan w:val="2"/>
            <w:vAlign w:val="center"/>
          </w:tcPr>
          <w:p w14:paraId="3E4AC764" w14:textId="77777777" w:rsidR="00CC1418" w:rsidRPr="00CA096D" w:rsidRDefault="00CC1418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(V99, PD)</w:t>
            </w:r>
          </w:p>
        </w:tc>
        <w:tc>
          <w:tcPr>
            <w:tcW w:w="1276" w:type="dxa"/>
            <w:gridSpan w:val="2"/>
            <w:vAlign w:val="center"/>
          </w:tcPr>
          <w:p w14:paraId="55D011E1" w14:textId="31ACB44E" w:rsidR="00CC1418" w:rsidRPr="00CA096D" w:rsidRDefault="00CC1418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A4ADAAD" w14:textId="0B24AE12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4B3F4F1" w14:textId="77777777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</w:tr>
      <w:tr w:rsidR="008D240F" w14:paraId="20A1234D" w14:textId="77777777" w:rsidTr="00CA096D">
        <w:tc>
          <w:tcPr>
            <w:tcW w:w="846" w:type="dxa"/>
            <w:vAlign w:val="center"/>
          </w:tcPr>
          <w:p w14:paraId="0F64738E" w14:textId="15A6B393" w:rsidR="008D240F" w:rsidRPr="00CA096D" w:rsidRDefault="008D240F" w:rsidP="00D729EE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26</w:t>
            </w:r>
          </w:p>
        </w:tc>
        <w:tc>
          <w:tcPr>
            <w:tcW w:w="3260" w:type="dxa"/>
            <w:gridSpan w:val="2"/>
            <w:vAlign w:val="center"/>
          </w:tcPr>
          <w:p w14:paraId="1BB1CDC1" w14:textId="0BEC41B8" w:rsidR="008D240F" w:rsidRPr="00CA096D" w:rsidRDefault="008D240F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Nevhodná teplota ve skladu</w:t>
            </w:r>
          </w:p>
        </w:tc>
        <w:tc>
          <w:tcPr>
            <w:tcW w:w="3260" w:type="dxa"/>
            <w:gridSpan w:val="2"/>
            <w:vAlign w:val="center"/>
          </w:tcPr>
          <w:p w14:paraId="0F2F1D50" w14:textId="44CD6A3B" w:rsidR="008D240F" w:rsidRPr="00CA096D" w:rsidRDefault="008D240F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Instalace měřicího zařízení (V99, PD)</w:t>
            </w:r>
          </w:p>
        </w:tc>
        <w:tc>
          <w:tcPr>
            <w:tcW w:w="1276" w:type="dxa"/>
            <w:gridSpan w:val="2"/>
            <w:vAlign w:val="center"/>
          </w:tcPr>
          <w:p w14:paraId="1D844262" w14:textId="77777777" w:rsidR="008D240F" w:rsidRPr="00CA096D" w:rsidRDefault="008D240F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5F3658B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58B6B54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</w:tr>
      <w:tr w:rsidR="008D240F" w14:paraId="5C020192" w14:textId="77777777" w:rsidTr="00CA096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7279616" w14:textId="405D04C9" w:rsidR="008D240F" w:rsidRPr="00CA096D" w:rsidRDefault="008D240F" w:rsidP="00D729EE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27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4B5A388" w14:textId="01A1DA55" w:rsidR="008D240F" w:rsidRPr="00CA096D" w:rsidRDefault="008D240F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Nevhodná teplota ve skladu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74F7492" w14:textId="3DDFB929" w:rsidR="008D240F" w:rsidRPr="00CA096D" w:rsidRDefault="008D240F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Definován správný stav/postup (PD)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E37C88C" w14:textId="77777777" w:rsidR="008D240F" w:rsidRPr="00CA096D" w:rsidRDefault="008D240F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D1595F3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0026651F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</w:tr>
      <w:tr w:rsidR="00CC1418" w:rsidRPr="00CA096D" w14:paraId="5366196C" w14:textId="77777777" w:rsidTr="00CA096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4C1087" w14:textId="77777777" w:rsidR="00CC1418" w:rsidRPr="00CA096D" w:rsidRDefault="00CC1418" w:rsidP="00D729EE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lastRenderedPageBreak/>
              <w:t>25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6C22ECE6" w14:textId="77777777" w:rsidR="00CC1418" w:rsidRPr="00CA096D" w:rsidRDefault="00CC1418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Nevhodná teplota ve skladu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12E715F0" w14:textId="279683B9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6415EB2" w14:textId="498DDB25" w:rsidR="00CC1418" w:rsidRPr="00CA096D" w:rsidRDefault="00CC1418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4DAA994" w14:textId="1936AADA" w:rsidR="00CC1418" w:rsidRPr="00CA096D" w:rsidRDefault="00CC1418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63A88794" w14:textId="3C5B817D" w:rsidR="00CC1418" w:rsidRPr="00CA096D" w:rsidRDefault="008D240F" w:rsidP="00D729EE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Dovolené rozpětí teploty a vlhkosti je uvedeno v bezpečnostním listu výbušniny, příp. v návodu k použití.</w:t>
            </w:r>
          </w:p>
        </w:tc>
      </w:tr>
      <w:tr w:rsidR="008D240F" w:rsidRPr="00CA096D" w14:paraId="5FCF6670" w14:textId="77777777" w:rsidTr="00CA09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6C0CCF" w14:textId="77777777" w:rsidR="008D240F" w:rsidRPr="00CA096D" w:rsidRDefault="008D240F" w:rsidP="00D729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442E8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792B9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C4B83E" w14:textId="77777777" w:rsidR="008D240F" w:rsidRPr="00CA096D" w:rsidRDefault="008D240F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D1815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1DD9B" w14:textId="77777777" w:rsidR="008D240F" w:rsidRPr="00CA096D" w:rsidRDefault="008D240F" w:rsidP="00D729EE">
            <w:pPr>
              <w:rPr>
                <w:rFonts w:ascii="Arial" w:hAnsi="Arial" w:cs="Arial"/>
              </w:rPr>
            </w:pPr>
          </w:p>
        </w:tc>
      </w:tr>
      <w:tr w:rsidR="003250E6" w:rsidRPr="00CA096D" w14:paraId="50DE8E08" w14:textId="77777777" w:rsidTr="00CA096D">
        <w:tc>
          <w:tcPr>
            <w:tcW w:w="14029" w:type="dxa"/>
            <w:gridSpan w:val="10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7F9AFEA" w14:textId="77777777" w:rsidR="003250E6" w:rsidRPr="00CA096D" w:rsidRDefault="003250E6" w:rsidP="00715024">
            <w:pPr>
              <w:rPr>
                <w:rFonts w:ascii="Arial" w:hAnsi="Arial" w:cs="Arial"/>
                <w:b/>
              </w:rPr>
            </w:pPr>
            <w:r w:rsidRPr="00CA096D">
              <w:rPr>
                <w:rFonts w:ascii="Arial" w:hAnsi="Arial" w:cs="Arial"/>
                <w:b/>
              </w:rPr>
              <w:t>Ochrana skladu před jiným ohrožením</w:t>
            </w:r>
          </w:p>
        </w:tc>
      </w:tr>
      <w:tr w:rsidR="008D240F" w:rsidRPr="00CA096D" w14:paraId="61CCE59F" w14:textId="77777777" w:rsidTr="00CA096D">
        <w:tc>
          <w:tcPr>
            <w:tcW w:w="846" w:type="dxa"/>
            <w:vAlign w:val="center"/>
          </w:tcPr>
          <w:p w14:paraId="033645CD" w14:textId="454E5C11" w:rsidR="008D240F" w:rsidRPr="00CA096D" w:rsidRDefault="008D240F" w:rsidP="002C667B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29</w:t>
            </w:r>
          </w:p>
        </w:tc>
        <w:tc>
          <w:tcPr>
            <w:tcW w:w="3260" w:type="dxa"/>
            <w:gridSpan w:val="2"/>
          </w:tcPr>
          <w:p w14:paraId="54207621" w14:textId="46AD5406" w:rsidR="008D240F" w:rsidRPr="00CA096D" w:rsidRDefault="008D240F" w:rsidP="002C667B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Neoprávněné vniknutí do zamčeného skladu</w:t>
            </w:r>
          </w:p>
        </w:tc>
        <w:tc>
          <w:tcPr>
            <w:tcW w:w="3260" w:type="dxa"/>
            <w:gridSpan w:val="2"/>
          </w:tcPr>
          <w:p w14:paraId="7C60B3B8" w14:textId="3E05BE7D" w:rsidR="008D240F" w:rsidRPr="00CA096D" w:rsidRDefault="008D240F" w:rsidP="00CC1418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EZS – signalizace na PCO</w:t>
            </w:r>
          </w:p>
        </w:tc>
        <w:tc>
          <w:tcPr>
            <w:tcW w:w="1276" w:type="dxa"/>
            <w:gridSpan w:val="2"/>
            <w:vAlign w:val="center"/>
          </w:tcPr>
          <w:p w14:paraId="24DB819F" w14:textId="77777777" w:rsidR="008D240F" w:rsidRPr="00CA096D" w:rsidRDefault="008D240F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4087A45" w14:textId="77777777" w:rsidR="008D240F" w:rsidRPr="00CA096D" w:rsidRDefault="008D240F" w:rsidP="002C667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</w:tcPr>
          <w:p w14:paraId="244763D0" w14:textId="3D1CAEC1" w:rsidR="008D240F" w:rsidRPr="00CA096D" w:rsidRDefault="008D240F" w:rsidP="00C56D0A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PČR se hlásí až po vyhodnocení incidentu odpovědným zaměstnancem</w:t>
            </w:r>
          </w:p>
        </w:tc>
      </w:tr>
      <w:tr w:rsidR="008D240F" w:rsidRPr="00CA096D" w14:paraId="58E36556" w14:textId="77777777" w:rsidTr="00CA096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D393841" w14:textId="057FC219" w:rsidR="008D240F" w:rsidRPr="00CA096D" w:rsidRDefault="008D240F" w:rsidP="002C667B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30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7730107E" w14:textId="401026CD" w:rsidR="008D240F" w:rsidRPr="00CA096D" w:rsidRDefault="008D240F" w:rsidP="002C667B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Neoprávněné vniknutí do zamčeného skladu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9F5ADC9" w14:textId="55BCE12D" w:rsidR="008D240F" w:rsidRPr="00CA096D" w:rsidRDefault="008D240F" w:rsidP="00CC1418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PCO – nepřetržitá bezpečnostní služba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1189CD0" w14:textId="77777777" w:rsidR="008D240F" w:rsidRPr="00CA096D" w:rsidRDefault="008D240F" w:rsidP="00CC14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449229" w14:textId="77777777" w:rsidR="008D240F" w:rsidRPr="00CA096D" w:rsidRDefault="008D240F" w:rsidP="002C667B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9A7E405" w14:textId="49EDF50B" w:rsidR="008D240F" w:rsidRPr="00CA096D" w:rsidRDefault="008D240F" w:rsidP="00C56D0A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Nepřetržitá bezpečnostní služba vlastní, externí, nebo vyvedeno na PČR</w:t>
            </w:r>
          </w:p>
        </w:tc>
      </w:tr>
      <w:tr w:rsidR="008D240F" w:rsidRPr="00CA096D" w14:paraId="39EEEB7A" w14:textId="77777777" w:rsidTr="00CA096D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4426EDE" w14:textId="1D69EC82" w:rsidR="008D240F" w:rsidRPr="00CA096D" w:rsidRDefault="008D240F" w:rsidP="008D240F">
            <w:pPr>
              <w:jc w:val="center"/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31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23A3EFD9" w14:textId="03A309E0" w:rsidR="008D240F" w:rsidRPr="00CA096D" w:rsidRDefault="008D240F" w:rsidP="008D240F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Pád letadla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63353052" w14:textId="20BE9744" w:rsidR="008D240F" w:rsidRPr="00CA096D" w:rsidRDefault="008D240F" w:rsidP="008D240F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Bezletová zóna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A8BA77D" w14:textId="77777777" w:rsidR="008D240F" w:rsidRPr="00CA096D" w:rsidRDefault="008D240F" w:rsidP="008D2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A516E4" w14:textId="21A215D5" w:rsidR="008D240F" w:rsidRPr="00CA096D" w:rsidRDefault="008D240F" w:rsidP="008D240F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1A6BF050" w14:textId="586F6134" w:rsidR="008D240F" w:rsidRPr="00CA096D" w:rsidRDefault="008D240F" w:rsidP="008D240F">
            <w:pPr>
              <w:rPr>
                <w:rFonts w:ascii="Arial" w:hAnsi="Arial" w:cs="Arial"/>
              </w:rPr>
            </w:pPr>
            <w:r w:rsidRPr="00CA096D">
              <w:rPr>
                <w:rFonts w:ascii="Arial" w:hAnsi="Arial" w:cs="Arial"/>
              </w:rPr>
              <w:t>Vyhlášena nad objektem, viz aktuální BDO</w:t>
            </w:r>
          </w:p>
        </w:tc>
      </w:tr>
      <w:tr w:rsidR="00891D2B" w:rsidRPr="00CA096D" w14:paraId="5F063903" w14:textId="77777777" w:rsidTr="00CA09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805CF6" w14:textId="77777777" w:rsidR="00891D2B" w:rsidRPr="00CA096D" w:rsidRDefault="00891D2B" w:rsidP="008D2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B24DA" w14:textId="77777777" w:rsidR="00891D2B" w:rsidRPr="00CA096D" w:rsidRDefault="00891D2B" w:rsidP="008D240F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41B715" w14:textId="77777777" w:rsidR="00891D2B" w:rsidRPr="00CA096D" w:rsidRDefault="00891D2B" w:rsidP="008D240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196C15" w14:textId="77777777" w:rsidR="00891D2B" w:rsidRPr="00CA096D" w:rsidRDefault="00891D2B" w:rsidP="008D24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543819" w14:textId="77777777" w:rsidR="00891D2B" w:rsidRPr="00CA096D" w:rsidRDefault="00891D2B" w:rsidP="008D240F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8E216" w14:textId="77777777" w:rsidR="00891D2B" w:rsidRPr="00CA096D" w:rsidRDefault="00891D2B" w:rsidP="008D240F">
            <w:pPr>
              <w:rPr>
                <w:rFonts w:ascii="Arial" w:hAnsi="Arial" w:cs="Arial"/>
              </w:rPr>
            </w:pPr>
          </w:p>
        </w:tc>
      </w:tr>
      <w:tr w:rsidR="00891D2B" w:rsidRPr="00CA096D" w14:paraId="22159297" w14:textId="77777777" w:rsidTr="00CA09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95560" w14:textId="6C13ACE0" w:rsidR="00891D2B" w:rsidRPr="00CA096D" w:rsidRDefault="00891D2B" w:rsidP="008D240F">
            <w:pPr>
              <w:jc w:val="center"/>
              <w:rPr>
                <w:rFonts w:ascii="Arial" w:hAnsi="Arial" w:cs="Arial"/>
                <w:color w:val="0070C0"/>
              </w:rPr>
            </w:pPr>
            <w:r w:rsidRPr="00CA096D">
              <w:rPr>
                <w:rFonts w:ascii="Arial" w:hAnsi="Arial" w:cs="Arial"/>
                <w:color w:val="0070C0"/>
              </w:rPr>
              <w:t>*)</w:t>
            </w:r>
          </w:p>
        </w:tc>
        <w:tc>
          <w:tcPr>
            <w:tcW w:w="131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20B03B" w14:textId="0B78E445" w:rsidR="00891D2B" w:rsidRPr="00CA096D" w:rsidRDefault="00891D2B" w:rsidP="008D240F">
            <w:pPr>
              <w:rPr>
                <w:rFonts w:ascii="Arial" w:hAnsi="Arial" w:cs="Arial"/>
                <w:color w:val="0070C0"/>
              </w:rPr>
            </w:pPr>
            <w:r w:rsidRPr="00CA096D">
              <w:rPr>
                <w:rFonts w:ascii="Arial" w:hAnsi="Arial" w:cs="Arial"/>
                <w:color w:val="0070C0"/>
              </w:rPr>
              <w:t>Ve sloupci d) uvedeno pouze několik příkladů možného způsobu zajištění funkčnosti konkrétních technických preventivních opatření.</w:t>
            </w:r>
          </w:p>
        </w:tc>
      </w:tr>
    </w:tbl>
    <w:p w14:paraId="6D3C0ADE" w14:textId="77777777" w:rsidR="008A67A5" w:rsidRPr="00CA096D" w:rsidRDefault="008A67A5" w:rsidP="00702940">
      <w:pPr>
        <w:spacing w:line="240" w:lineRule="auto"/>
        <w:rPr>
          <w:rFonts w:ascii="Arial" w:hAnsi="Arial" w:cs="Arial"/>
        </w:rPr>
      </w:pPr>
    </w:p>
    <w:sectPr w:rsidR="008A67A5" w:rsidRPr="00CA096D" w:rsidSect="00F719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A197" w14:textId="77777777" w:rsidR="00B064BA" w:rsidRDefault="00B064BA" w:rsidP="00CC1D88">
      <w:pPr>
        <w:spacing w:after="0" w:line="240" w:lineRule="auto"/>
      </w:pPr>
      <w:r>
        <w:separator/>
      </w:r>
    </w:p>
  </w:endnote>
  <w:endnote w:type="continuationSeparator" w:id="0">
    <w:p w14:paraId="5726F9F2" w14:textId="77777777" w:rsidR="00B064BA" w:rsidRDefault="00B064BA" w:rsidP="00CC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6C95" w14:textId="77777777" w:rsidR="00B064BA" w:rsidRDefault="00B064BA" w:rsidP="00CC1D88">
      <w:pPr>
        <w:spacing w:after="0" w:line="240" w:lineRule="auto"/>
      </w:pPr>
      <w:r>
        <w:separator/>
      </w:r>
    </w:p>
  </w:footnote>
  <w:footnote w:type="continuationSeparator" w:id="0">
    <w:p w14:paraId="3ED55D13" w14:textId="77777777" w:rsidR="00B064BA" w:rsidRDefault="00B064BA" w:rsidP="00CC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5DC1"/>
    <w:multiLevelType w:val="hybridMultilevel"/>
    <w:tmpl w:val="0E9CC3B8"/>
    <w:lvl w:ilvl="0" w:tplc="B2FACDC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30332"/>
    <w:multiLevelType w:val="hybridMultilevel"/>
    <w:tmpl w:val="AE848084"/>
    <w:lvl w:ilvl="0" w:tplc="B2FACDC2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4024"/>
    <w:multiLevelType w:val="hybridMultilevel"/>
    <w:tmpl w:val="6CE02E88"/>
    <w:lvl w:ilvl="0" w:tplc="01100F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1ED1"/>
    <w:multiLevelType w:val="hybridMultilevel"/>
    <w:tmpl w:val="BB2AD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FACDC2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DB1"/>
    <w:multiLevelType w:val="hybridMultilevel"/>
    <w:tmpl w:val="1CA0AC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45ED8"/>
    <w:multiLevelType w:val="hybridMultilevel"/>
    <w:tmpl w:val="88F6B060"/>
    <w:lvl w:ilvl="0" w:tplc="2570A4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04848"/>
    <w:multiLevelType w:val="hybridMultilevel"/>
    <w:tmpl w:val="8F2650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970552">
    <w:abstractNumId w:val="6"/>
  </w:num>
  <w:num w:numId="2" w16cid:durableId="338116188">
    <w:abstractNumId w:val="0"/>
  </w:num>
  <w:num w:numId="3" w16cid:durableId="920679233">
    <w:abstractNumId w:val="1"/>
  </w:num>
  <w:num w:numId="4" w16cid:durableId="1902516446">
    <w:abstractNumId w:val="5"/>
  </w:num>
  <w:num w:numId="5" w16cid:durableId="2120906940">
    <w:abstractNumId w:val="4"/>
  </w:num>
  <w:num w:numId="6" w16cid:durableId="1957250034">
    <w:abstractNumId w:val="2"/>
  </w:num>
  <w:num w:numId="7" w16cid:durableId="10165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BE"/>
    <w:rsid w:val="000172F6"/>
    <w:rsid w:val="00023E3E"/>
    <w:rsid w:val="00046C9F"/>
    <w:rsid w:val="000527E8"/>
    <w:rsid w:val="00057769"/>
    <w:rsid w:val="000827BE"/>
    <w:rsid w:val="000A0650"/>
    <w:rsid w:val="000F5316"/>
    <w:rsid w:val="00111D04"/>
    <w:rsid w:val="00151D22"/>
    <w:rsid w:val="00155265"/>
    <w:rsid w:val="00176EEF"/>
    <w:rsid w:val="00181145"/>
    <w:rsid w:val="00186952"/>
    <w:rsid w:val="00187D34"/>
    <w:rsid w:val="001C331C"/>
    <w:rsid w:val="001D49CF"/>
    <w:rsid w:val="001D5C68"/>
    <w:rsid w:val="00210413"/>
    <w:rsid w:val="002158DF"/>
    <w:rsid w:val="00287DCC"/>
    <w:rsid w:val="002A3CB1"/>
    <w:rsid w:val="002C667B"/>
    <w:rsid w:val="002E6296"/>
    <w:rsid w:val="002F4837"/>
    <w:rsid w:val="00303E75"/>
    <w:rsid w:val="0031543A"/>
    <w:rsid w:val="003250E6"/>
    <w:rsid w:val="00330AF3"/>
    <w:rsid w:val="003320E8"/>
    <w:rsid w:val="00340101"/>
    <w:rsid w:val="003C5E64"/>
    <w:rsid w:val="003C6FEF"/>
    <w:rsid w:val="003E7597"/>
    <w:rsid w:val="004055BE"/>
    <w:rsid w:val="00406F6F"/>
    <w:rsid w:val="004079A7"/>
    <w:rsid w:val="0044170B"/>
    <w:rsid w:val="0044229C"/>
    <w:rsid w:val="00456860"/>
    <w:rsid w:val="00462CBC"/>
    <w:rsid w:val="0046393C"/>
    <w:rsid w:val="0048463D"/>
    <w:rsid w:val="00485E12"/>
    <w:rsid w:val="0048667D"/>
    <w:rsid w:val="00490A41"/>
    <w:rsid w:val="004A6C5D"/>
    <w:rsid w:val="0051067E"/>
    <w:rsid w:val="00513ABA"/>
    <w:rsid w:val="00532835"/>
    <w:rsid w:val="0057527E"/>
    <w:rsid w:val="00583297"/>
    <w:rsid w:val="0059458D"/>
    <w:rsid w:val="005A7BAA"/>
    <w:rsid w:val="005B287E"/>
    <w:rsid w:val="0062370A"/>
    <w:rsid w:val="00636BDC"/>
    <w:rsid w:val="00640A3E"/>
    <w:rsid w:val="00641575"/>
    <w:rsid w:val="00654EB9"/>
    <w:rsid w:val="0066226F"/>
    <w:rsid w:val="00680965"/>
    <w:rsid w:val="00693347"/>
    <w:rsid w:val="00697603"/>
    <w:rsid w:val="006976FB"/>
    <w:rsid w:val="006B424A"/>
    <w:rsid w:val="006D1535"/>
    <w:rsid w:val="006F6DD3"/>
    <w:rsid w:val="00702940"/>
    <w:rsid w:val="00706C41"/>
    <w:rsid w:val="007225D8"/>
    <w:rsid w:val="00750CEF"/>
    <w:rsid w:val="00792BAA"/>
    <w:rsid w:val="007A50FC"/>
    <w:rsid w:val="007E4841"/>
    <w:rsid w:val="008055E7"/>
    <w:rsid w:val="00862652"/>
    <w:rsid w:val="00883E38"/>
    <w:rsid w:val="00887EB8"/>
    <w:rsid w:val="00891681"/>
    <w:rsid w:val="00891D2B"/>
    <w:rsid w:val="008A67A5"/>
    <w:rsid w:val="008B151C"/>
    <w:rsid w:val="008C62F2"/>
    <w:rsid w:val="008D240F"/>
    <w:rsid w:val="008E4564"/>
    <w:rsid w:val="008F2190"/>
    <w:rsid w:val="008F3484"/>
    <w:rsid w:val="0093113D"/>
    <w:rsid w:val="009424CB"/>
    <w:rsid w:val="00956D27"/>
    <w:rsid w:val="0099246C"/>
    <w:rsid w:val="009A7997"/>
    <w:rsid w:val="009F07E3"/>
    <w:rsid w:val="009F1208"/>
    <w:rsid w:val="009F620C"/>
    <w:rsid w:val="00A06A2C"/>
    <w:rsid w:val="00A06B06"/>
    <w:rsid w:val="00A2339D"/>
    <w:rsid w:val="00A31E05"/>
    <w:rsid w:val="00A35BF3"/>
    <w:rsid w:val="00A514E1"/>
    <w:rsid w:val="00A63B5A"/>
    <w:rsid w:val="00AB1CF3"/>
    <w:rsid w:val="00B029A1"/>
    <w:rsid w:val="00B064BA"/>
    <w:rsid w:val="00B06907"/>
    <w:rsid w:val="00B31681"/>
    <w:rsid w:val="00B31922"/>
    <w:rsid w:val="00B46665"/>
    <w:rsid w:val="00B5774B"/>
    <w:rsid w:val="00B92209"/>
    <w:rsid w:val="00BC5B1A"/>
    <w:rsid w:val="00C07CB7"/>
    <w:rsid w:val="00C20028"/>
    <w:rsid w:val="00C20E0D"/>
    <w:rsid w:val="00C25365"/>
    <w:rsid w:val="00C40C8E"/>
    <w:rsid w:val="00C56D0A"/>
    <w:rsid w:val="00C71F36"/>
    <w:rsid w:val="00CA096D"/>
    <w:rsid w:val="00CA5E1C"/>
    <w:rsid w:val="00CA6BC1"/>
    <w:rsid w:val="00CC1418"/>
    <w:rsid w:val="00CC1D88"/>
    <w:rsid w:val="00CE5399"/>
    <w:rsid w:val="00CF37B4"/>
    <w:rsid w:val="00CF38DB"/>
    <w:rsid w:val="00D16C4D"/>
    <w:rsid w:val="00D179BC"/>
    <w:rsid w:val="00D50D21"/>
    <w:rsid w:val="00D5663A"/>
    <w:rsid w:val="00D67FAB"/>
    <w:rsid w:val="00D729EE"/>
    <w:rsid w:val="00D8522C"/>
    <w:rsid w:val="00DC4363"/>
    <w:rsid w:val="00DD2E90"/>
    <w:rsid w:val="00DD3DF4"/>
    <w:rsid w:val="00DD6AA4"/>
    <w:rsid w:val="00E05BBC"/>
    <w:rsid w:val="00E85696"/>
    <w:rsid w:val="00E863BB"/>
    <w:rsid w:val="00E91AA6"/>
    <w:rsid w:val="00E94485"/>
    <w:rsid w:val="00EA5FBB"/>
    <w:rsid w:val="00EC3C1A"/>
    <w:rsid w:val="00ED0B67"/>
    <w:rsid w:val="00ED7EA0"/>
    <w:rsid w:val="00EE5DCA"/>
    <w:rsid w:val="00F719BA"/>
    <w:rsid w:val="00FA53FF"/>
    <w:rsid w:val="00FB594B"/>
    <w:rsid w:val="00FC5333"/>
    <w:rsid w:val="00FC6014"/>
    <w:rsid w:val="00FE2DA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EFBD"/>
  <w15:chartTrackingRefBased/>
  <w15:docId w15:val="{2714FA50-3025-4D16-9B45-289D698B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12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1208"/>
    <w:rPr>
      <w:rFonts w:ascii="Arial" w:eastAsiaTheme="majorEastAsia" w:hAnsi="Arial" w:cstheme="majorBidi"/>
      <w:b/>
      <w:sz w:val="32"/>
      <w:szCs w:val="32"/>
    </w:rPr>
  </w:style>
  <w:style w:type="table" w:styleId="Mkatabulky">
    <w:name w:val="Table Grid"/>
    <w:basedOn w:val="Normlntabulka"/>
    <w:uiPriority w:val="39"/>
    <w:rsid w:val="0008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27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D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D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1D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35B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303A-600A-48CC-B2E8-6EB48760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Dosoudil Tomáš</dc:creator>
  <cp:keywords/>
  <dc:description/>
  <cp:lastModifiedBy>Mikošková Veronika</cp:lastModifiedBy>
  <cp:revision>2</cp:revision>
  <dcterms:created xsi:type="dcterms:W3CDTF">2025-03-27T20:41:00Z</dcterms:created>
  <dcterms:modified xsi:type="dcterms:W3CDTF">2025-03-27T20:41:00Z</dcterms:modified>
</cp:coreProperties>
</file>