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5113" w14:textId="43C3FEDA" w:rsidR="00856448" w:rsidRPr="000C410B" w:rsidRDefault="00045BFC" w:rsidP="00856448">
      <w:pPr>
        <w:pStyle w:val="Nadpis3"/>
        <w:rPr>
          <w:rFonts w:ascii="Arial" w:hAnsi="Arial" w:cs="Arial"/>
          <w:b/>
          <w:bCs/>
          <w:color w:val="auto"/>
        </w:rPr>
      </w:pPr>
      <w:bookmarkStart w:id="0" w:name="_Toc180577502"/>
      <w:r w:rsidRPr="000C410B">
        <w:rPr>
          <w:rFonts w:ascii="Arial" w:hAnsi="Arial" w:cs="Arial"/>
          <w:b/>
          <w:bCs/>
          <w:color w:val="auto"/>
        </w:rPr>
        <w:t>SADA CHECKLISTŮ</w:t>
      </w:r>
      <w:bookmarkEnd w:id="0"/>
      <w:r w:rsidRPr="000C410B">
        <w:rPr>
          <w:rFonts w:ascii="Arial" w:hAnsi="Arial" w:cs="Arial"/>
          <w:b/>
          <w:bCs/>
          <w:color w:val="auto"/>
        </w:rPr>
        <w:t xml:space="preserve"> KE KULTUŘE BEZPEČNOSTI</w:t>
      </w:r>
    </w:p>
    <w:p w14:paraId="277614F4" w14:textId="2CD4D56E" w:rsidR="00856448" w:rsidRPr="00002124" w:rsidRDefault="00856448" w:rsidP="00856448">
      <w:pPr>
        <w:spacing w:line="240" w:lineRule="auto"/>
        <w:contextualSpacing/>
        <w:rPr>
          <w:rFonts w:ascii="Arial" w:hAnsi="Arial" w:cs="Arial"/>
        </w:rPr>
      </w:pPr>
      <w:r w:rsidRPr="00002124">
        <w:rPr>
          <w:rFonts w:ascii="Arial" w:hAnsi="Arial" w:cs="Arial"/>
        </w:rPr>
        <w:t xml:space="preserve">Tato sada checklistů </w:t>
      </w:r>
      <w:r w:rsidR="000E15C0" w:rsidRPr="00002124">
        <w:rPr>
          <w:rFonts w:ascii="Arial" w:hAnsi="Arial" w:cs="Arial"/>
        </w:rPr>
        <w:t>je</w:t>
      </w:r>
      <w:r w:rsidRPr="00002124">
        <w:rPr>
          <w:rFonts w:ascii="Arial" w:hAnsi="Arial" w:cs="Arial"/>
        </w:rPr>
        <w:t xml:space="preserve"> vytvořena jako pomůcka pro zaměstnavatele (provozovatele), aby při rozvíjení kultury bezpečnosti neopomněli nějaký její důležitý aspekt. Checklisty jsou rozděleny do sedmi dílčích oblastí </w:t>
      </w:r>
      <w:r w:rsidR="00E91BBD" w:rsidRPr="00002124">
        <w:rPr>
          <w:rFonts w:ascii="Arial" w:hAnsi="Arial" w:cs="Arial"/>
        </w:rPr>
        <w:t>na základě</w:t>
      </w:r>
      <w:r w:rsidRPr="00002124">
        <w:rPr>
          <w:rFonts w:ascii="Arial" w:hAnsi="Arial" w:cs="Arial"/>
        </w:rPr>
        <w:t xml:space="preserve"> významných aspektů kultury bezpečnosti podle materiálu HSE pro inspektory</w:t>
      </w:r>
      <w:r w:rsidR="00AF137E" w:rsidRPr="00002124">
        <w:rPr>
          <w:rStyle w:val="Znakapoznpodarou"/>
          <w:rFonts w:ascii="Arial" w:hAnsi="Arial" w:cs="Arial"/>
        </w:rPr>
        <w:footnoteReference w:id="2"/>
      </w:r>
      <w:r w:rsidRPr="00002124">
        <w:rPr>
          <w:rFonts w:ascii="Arial" w:hAnsi="Arial" w:cs="Arial"/>
        </w:rPr>
        <w:t xml:space="preserve">. </w:t>
      </w:r>
    </w:p>
    <w:p w14:paraId="780EA051" w14:textId="7C0CB081" w:rsidR="00856448" w:rsidRPr="00002124" w:rsidRDefault="00856448" w:rsidP="00856448">
      <w:pPr>
        <w:spacing w:line="240" w:lineRule="auto"/>
        <w:contextualSpacing/>
        <w:rPr>
          <w:rFonts w:ascii="Arial" w:hAnsi="Arial" w:cs="Arial"/>
        </w:rPr>
      </w:pPr>
      <w:r w:rsidRPr="00002124">
        <w:rPr>
          <w:rFonts w:ascii="Arial" w:hAnsi="Arial" w:cs="Arial"/>
        </w:rPr>
        <w:t>Těmito aspekty jsou:</w:t>
      </w:r>
    </w:p>
    <w:p w14:paraId="64292ECC" w14:textId="77777777" w:rsidR="00856448" w:rsidRPr="00002124" w:rsidRDefault="00856448" w:rsidP="00856448">
      <w:pPr>
        <w:pStyle w:val="Normal1"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Závazek vedení.</w:t>
      </w:r>
    </w:p>
    <w:p w14:paraId="1AF52D31" w14:textId="77777777" w:rsidR="00856448" w:rsidRPr="00002124" w:rsidRDefault="00856448" w:rsidP="00856448">
      <w:pPr>
        <w:pStyle w:val="Normal1"/>
        <w:keepNext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Komunikace.</w:t>
      </w:r>
    </w:p>
    <w:p w14:paraId="4AD3658D" w14:textId="77777777" w:rsidR="00856448" w:rsidRPr="00002124" w:rsidRDefault="00856448" w:rsidP="00856448">
      <w:pPr>
        <w:pStyle w:val="Normal1"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Účast zaměstnanců.</w:t>
      </w:r>
    </w:p>
    <w:p w14:paraId="2AEBA745" w14:textId="77777777" w:rsidR="00856448" w:rsidRPr="00002124" w:rsidRDefault="00856448" w:rsidP="00856448">
      <w:pPr>
        <w:pStyle w:val="Normal1"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Školení a informace.</w:t>
      </w:r>
    </w:p>
    <w:p w14:paraId="2D7CBBC3" w14:textId="77777777" w:rsidR="00856448" w:rsidRPr="00002124" w:rsidRDefault="00856448" w:rsidP="00856448">
      <w:pPr>
        <w:pStyle w:val="Normal1"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Motivace.</w:t>
      </w:r>
    </w:p>
    <w:p w14:paraId="253BFC70" w14:textId="77777777" w:rsidR="00856448" w:rsidRPr="00002124" w:rsidRDefault="00856448" w:rsidP="00856448">
      <w:pPr>
        <w:pStyle w:val="Normal1"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Dodržování pracovních postupů, bezpečné chování.</w:t>
      </w:r>
    </w:p>
    <w:p w14:paraId="09500AF0" w14:textId="77777777" w:rsidR="00856448" w:rsidRPr="00002124" w:rsidRDefault="00856448" w:rsidP="00856448">
      <w:pPr>
        <w:pStyle w:val="Normal1"/>
        <w:keepNext/>
        <w:numPr>
          <w:ilvl w:val="0"/>
          <w:numId w:val="10"/>
        </w:numPr>
        <w:spacing w:after="120"/>
        <w:contextualSpacing/>
        <w:rPr>
          <w:sz w:val="22"/>
          <w:szCs w:val="22"/>
        </w:rPr>
      </w:pPr>
      <w:r w:rsidRPr="00002124">
        <w:rPr>
          <w:sz w:val="22"/>
          <w:szCs w:val="22"/>
        </w:rPr>
        <w:t>Poučení ze zkušeností.</w:t>
      </w:r>
    </w:p>
    <w:p w14:paraId="5EC06025" w14:textId="6C293B0E" w:rsidR="00856448" w:rsidRPr="00002124" w:rsidRDefault="00856448" w:rsidP="00856448">
      <w:pPr>
        <w:spacing w:line="240" w:lineRule="auto"/>
        <w:contextualSpacing/>
        <w:rPr>
          <w:rFonts w:ascii="Arial" w:hAnsi="Arial" w:cs="Arial"/>
        </w:rPr>
      </w:pPr>
      <w:r w:rsidRPr="00002124">
        <w:rPr>
          <w:rFonts w:ascii="Arial" w:hAnsi="Arial" w:cs="Arial"/>
        </w:rPr>
        <w:t xml:space="preserve">Součástí checklistů je stručný popis jednotlivých aspektů a ke každému z nich návrh možných položek, který si uživatel může upravit podle svých individuálních potřeb. Tento návrh </w:t>
      </w:r>
      <w:r w:rsidR="00F6080A" w:rsidRPr="00002124">
        <w:rPr>
          <w:rFonts w:ascii="Arial" w:hAnsi="Arial" w:cs="Arial"/>
        </w:rPr>
        <w:t xml:space="preserve">však </w:t>
      </w:r>
      <w:r w:rsidRPr="00002124">
        <w:rPr>
          <w:rFonts w:ascii="Arial" w:hAnsi="Arial" w:cs="Arial"/>
        </w:rPr>
        <w:t>není konečným a univerzálním výčtem všech položek.</w:t>
      </w:r>
    </w:p>
    <w:p w14:paraId="153545CF" w14:textId="77777777" w:rsidR="00856448" w:rsidRPr="00002124" w:rsidRDefault="00856448" w:rsidP="00856448">
      <w:pPr>
        <w:spacing w:line="240" w:lineRule="auto"/>
        <w:contextualSpacing/>
        <w:rPr>
          <w:rFonts w:ascii="Arial" w:hAnsi="Arial" w:cs="Arial"/>
        </w:rPr>
      </w:pPr>
      <w:r w:rsidRPr="00002124">
        <w:rPr>
          <w:rFonts w:ascii="Arial" w:hAnsi="Arial" w:cs="Arial"/>
        </w:rPr>
        <w:t>Pod pojmem bezpečnost, používaným v jednotlivých checklistech, je možné chápat jak bezpečnost a ochranu zdraví při práci, tak procesní bezpečnost.</w:t>
      </w:r>
    </w:p>
    <w:p w14:paraId="37C3CBEC" w14:textId="77777777" w:rsidR="00856448" w:rsidRPr="00856448" w:rsidRDefault="00856448" w:rsidP="0085644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F0FB48" w14:textId="77777777" w:rsidR="00F14438" w:rsidRDefault="00F14438">
      <w:pPr>
        <w:spacing w:after="160" w:line="278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D72FFA3" w14:textId="2321C78C" w:rsidR="00856448" w:rsidRPr="001E1879" w:rsidRDefault="00856448" w:rsidP="00856448">
      <w:pPr>
        <w:pStyle w:val="Normal1"/>
        <w:spacing w:after="120"/>
        <w:rPr>
          <w:b/>
          <w:bCs/>
          <w:sz w:val="22"/>
          <w:szCs w:val="22"/>
        </w:rPr>
      </w:pPr>
      <w:r w:rsidRPr="001E1879">
        <w:rPr>
          <w:b/>
          <w:bCs/>
          <w:sz w:val="22"/>
          <w:szCs w:val="22"/>
        </w:rPr>
        <w:lastRenderedPageBreak/>
        <w:t xml:space="preserve">Závazek vedení </w:t>
      </w:r>
    </w:p>
    <w:p w14:paraId="6FC6076C" w14:textId="1F8DEF4B" w:rsidR="00856448" w:rsidRPr="001E1879" w:rsidRDefault="00856448" w:rsidP="00856448">
      <w:pPr>
        <w:pStyle w:val="Default"/>
        <w:spacing w:after="120"/>
        <w:jc w:val="both"/>
        <w:rPr>
          <w:i/>
          <w:color w:val="auto"/>
          <w:sz w:val="22"/>
          <w:szCs w:val="22"/>
        </w:rPr>
      </w:pPr>
      <w:r w:rsidRPr="001E1879">
        <w:rPr>
          <w:i/>
          <w:color w:val="auto"/>
          <w:sz w:val="22"/>
          <w:szCs w:val="22"/>
        </w:rPr>
        <w:t>Jedná se o přístup vedení organizace, co se týče bezpečnosti na pracovištích, ale také míry projevované podpory, motivování zaměstnanců k zájmu o</w:t>
      </w:r>
      <w:r w:rsidR="00F14438" w:rsidRPr="001E1879">
        <w:rPr>
          <w:i/>
          <w:color w:val="auto"/>
          <w:sz w:val="22"/>
          <w:szCs w:val="22"/>
        </w:rPr>
        <w:t> </w:t>
      </w:r>
      <w:r w:rsidRPr="001E1879">
        <w:rPr>
          <w:i/>
          <w:color w:val="auto"/>
          <w:sz w:val="22"/>
          <w:szCs w:val="22"/>
        </w:rPr>
        <w:t>zdraví a bezpečnost atd. Projevuje se podporou a postavením bezpečnosti ve srovnání s výrobou. Vedoucí zaměstnanci musí jít v oblasti bezpečnosti příkladem. Dobří manažeři se pravidelně objevují na pracovištích, hovoří o</w:t>
      </w:r>
      <w:r w:rsidR="00D668F1" w:rsidRPr="001E1879">
        <w:rPr>
          <w:i/>
          <w:color w:val="auto"/>
          <w:sz w:val="22"/>
          <w:szCs w:val="22"/>
        </w:rPr>
        <w:t> </w:t>
      </w:r>
      <w:r w:rsidRPr="001E1879">
        <w:rPr>
          <w:i/>
          <w:color w:val="auto"/>
          <w:sz w:val="22"/>
          <w:szCs w:val="22"/>
        </w:rPr>
        <w:t>bezpečnosti a viditelně demonstrují svůj zájem svými činy – například zastavením výroby za účelem vyřešení bezpečnostních problémů. Je důležité, aby vedení bylo vnímáno jako skutečně angažované v oblasti bezpečnosti. V opačném případě budou zaměstnanci obecně předpokládat, že se od nich očekává, že budou upřednostňovat obchodní zájmy. V organizaci by měla být opravdová kultura bezpečnosti, která proniká do všech jejích úrovní. Závazek vrcholového vedení k bezpečnosti by měl být takový, aby byl ve zbytku organizace pociťován jako opravdový a vážně myšlený a nejenom jako prázdná slova.</w:t>
      </w:r>
    </w:p>
    <w:p w14:paraId="1B17BA24" w14:textId="77777777" w:rsidR="00856448" w:rsidRPr="001E1879" w:rsidRDefault="00856448" w:rsidP="00856448">
      <w:pPr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Vedení by mělo:</w:t>
      </w:r>
    </w:p>
    <w:p w14:paraId="784CACF3" w14:textId="77777777" w:rsidR="00856448" w:rsidRPr="001E1879" w:rsidRDefault="00856448" w:rsidP="00856448">
      <w:pPr>
        <w:pStyle w:val="Odstavecseseznamem"/>
        <w:numPr>
          <w:ilvl w:val="0"/>
          <w:numId w:val="2"/>
        </w:numPr>
        <w:snapToGrid w:val="0"/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Jasně vyhlásit a zviditelnit závazek k bezpečnosti.</w:t>
      </w:r>
    </w:p>
    <w:p w14:paraId="3093D71F" w14:textId="77777777" w:rsidR="00856448" w:rsidRPr="001E1879" w:rsidRDefault="00856448" w:rsidP="00856448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Podporovat iniciativu zaměstnanců a jejich pozornost v zájmu bezpečnosti.</w:t>
      </w:r>
    </w:p>
    <w:p w14:paraId="32B08905" w14:textId="77777777" w:rsidR="00856448" w:rsidRPr="001E1879" w:rsidRDefault="00856448" w:rsidP="00856448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Zajistit, aby si zaměstnanci byli vědomi svých úloh a odpovědností.</w:t>
      </w:r>
    </w:p>
    <w:p w14:paraId="3985469B" w14:textId="77777777" w:rsidR="00856448" w:rsidRPr="001E1879" w:rsidRDefault="00856448" w:rsidP="00856448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Podporovat zaměstnance ke sdílení svých zkušeností.</w:t>
      </w:r>
    </w:p>
    <w:p w14:paraId="48F26E37" w14:textId="77777777" w:rsidR="00856448" w:rsidRDefault="00856448" w:rsidP="00856448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i/>
        </w:rPr>
      </w:pPr>
      <w:r w:rsidRPr="001E1879">
        <w:rPr>
          <w:rFonts w:ascii="Arial" w:hAnsi="Arial" w:cs="Arial"/>
          <w:i/>
        </w:rPr>
        <w:t>Vytvořit ovzduší, podporující důvěru.</w:t>
      </w:r>
    </w:p>
    <w:p w14:paraId="783D1597" w14:textId="77777777" w:rsidR="001E1879" w:rsidRPr="001E1879" w:rsidRDefault="001E1879" w:rsidP="001E1879">
      <w:pPr>
        <w:pStyle w:val="Odstavecseseznamem"/>
        <w:spacing w:line="240" w:lineRule="auto"/>
        <w:rPr>
          <w:rFonts w:ascii="Arial" w:hAnsi="Arial" w:cs="Arial"/>
          <w:i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7413"/>
        <w:gridCol w:w="946"/>
        <w:gridCol w:w="946"/>
        <w:gridCol w:w="4724"/>
      </w:tblGrid>
      <w:tr w:rsidR="00724635" w:rsidRPr="00856448" w14:paraId="6982C3CB" w14:textId="30BA8F28" w:rsidTr="0020201B">
        <w:tc>
          <w:tcPr>
            <w:tcW w:w="7413" w:type="dxa"/>
          </w:tcPr>
          <w:p w14:paraId="177B1FE1" w14:textId="77777777" w:rsidR="00724635" w:rsidRPr="001E1879" w:rsidRDefault="00724635" w:rsidP="009C43A4">
            <w:pPr>
              <w:pStyle w:val="Normal1"/>
            </w:pPr>
            <w:r w:rsidRPr="001E1879">
              <w:t xml:space="preserve">Aspekt kultury bezpečnosti – </w:t>
            </w:r>
            <w:r w:rsidRPr="001E1879">
              <w:rPr>
                <w:b/>
                <w:bCs/>
              </w:rPr>
              <w:t>závazek vedení</w:t>
            </w:r>
          </w:p>
        </w:tc>
        <w:tc>
          <w:tcPr>
            <w:tcW w:w="946" w:type="dxa"/>
          </w:tcPr>
          <w:p w14:paraId="22A759D6" w14:textId="6F588E89" w:rsidR="00724635" w:rsidRPr="001E1879" w:rsidRDefault="00E52698" w:rsidP="00724635">
            <w:pPr>
              <w:pStyle w:val="Normal1"/>
            </w:pPr>
            <w:r w:rsidRPr="001E1879">
              <w:t>ANO</w:t>
            </w:r>
          </w:p>
        </w:tc>
        <w:tc>
          <w:tcPr>
            <w:tcW w:w="946" w:type="dxa"/>
          </w:tcPr>
          <w:p w14:paraId="3B9CB126" w14:textId="2CF34BCC" w:rsidR="00724635" w:rsidRPr="001E1879" w:rsidRDefault="00E52698" w:rsidP="00724635">
            <w:pPr>
              <w:pStyle w:val="Normal1"/>
            </w:pPr>
            <w:r w:rsidRPr="001E1879">
              <w:t>NE</w:t>
            </w:r>
          </w:p>
        </w:tc>
        <w:tc>
          <w:tcPr>
            <w:tcW w:w="4724" w:type="dxa"/>
          </w:tcPr>
          <w:p w14:paraId="0012BBCA" w14:textId="4BE4E2DF" w:rsidR="00724635" w:rsidRPr="001E1879" w:rsidRDefault="00E901EC" w:rsidP="00724635">
            <w:pPr>
              <w:pStyle w:val="Normal1"/>
            </w:pPr>
            <w:r w:rsidRPr="001E1879">
              <w:t>Poznámka</w:t>
            </w:r>
          </w:p>
        </w:tc>
      </w:tr>
      <w:tr w:rsidR="00724635" w:rsidRPr="00856448" w14:paraId="454E1192" w14:textId="6AB94FEA" w:rsidTr="0020201B">
        <w:tc>
          <w:tcPr>
            <w:tcW w:w="7413" w:type="dxa"/>
            <w:shd w:val="clear" w:color="auto" w:fill="auto"/>
          </w:tcPr>
          <w:p w14:paraId="589E2068" w14:textId="2306B24B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Vedení chodí pravidelně a často na pracoviště, účastní se prohlídek i</w:t>
            </w:r>
            <w:r w:rsidR="00556311" w:rsidRPr="001E1879">
              <w:t> </w:t>
            </w:r>
            <w:r w:rsidRPr="001E1879">
              <w:t>auditů.</w:t>
            </w:r>
          </w:p>
        </w:tc>
        <w:tc>
          <w:tcPr>
            <w:tcW w:w="946" w:type="dxa"/>
          </w:tcPr>
          <w:p w14:paraId="26B23B8B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5CC5F3E9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623BBBF7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576EF4DF" w14:textId="4859CA5A" w:rsidTr="0020201B">
        <w:tc>
          <w:tcPr>
            <w:tcW w:w="7413" w:type="dxa"/>
          </w:tcPr>
          <w:p w14:paraId="5F04D512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Vedení pravidelně a často sděluje a prosazuje svá očekávání v souladu s bezpečností jako prvořadou prioritou.</w:t>
            </w:r>
          </w:p>
        </w:tc>
        <w:tc>
          <w:tcPr>
            <w:tcW w:w="946" w:type="dxa"/>
          </w:tcPr>
          <w:p w14:paraId="0C50EE23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454F1DF2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37B4AE32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750DE819" w14:textId="5AA7A24B" w:rsidTr="0020201B">
        <w:tc>
          <w:tcPr>
            <w:tcW w:w="7413" w:type="dxa"/>
          </w:tcPr>
          <w:p w14:paraId="56B4E6FA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Pokud jde o bezpečnost, má vedení důvěru zaměstnanců.</w:t>
            </w:r>
          </w:p>
        </w:tc>
        <w:tc>
          <w:tcPr>
            <w:tcW w:w="946" w:type="dxa"/>
          </w:tcPr>
          <w:p w14:paraId="39663D2F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2BB51B32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6C09FC9F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2EDA42CA" w14:textId="6FC26041" w:rsidTr="0020201B">
        <w:tc>
          <w:tcPr>
            <w:tcW w:w="7413" w:type="dxa"/>
          </w:tcPr>
          <w:p w14:paraId="318DFAC6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  <w:ind w:left="357" w:hanging="357"/>
            </w:pPr>
            <w:r w:rsidRPr="001E1879">
              <w:t>Manažeři se zúčastňují nápravných akcí po nehodách.</w:t>
            </w:r>
          </w:p>
        </w:tc>
        <w:tc>
          <w:tcPr>
            <w:tcW w:w="946" w:type="dxa"/>
          </w:tcPr>
          <w:p w14:paraId="64F9DC99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7622EA3B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0EF38A7D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0A07162B" w14:textId="6EDB2E42" w:rsidTr="0020201B">
        <w:tc>
          <w:tcPr>
            <w:tcW w:w="7413" w:type="dxa"/>
          </w:tcPr>
          <w:p w14:paraId="06411674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Vedení dělá to, co říká. Chová se v souladu s tím, co prohlašuje.</w:t>
            </w:r>
          </w:p>
        </w:tc>
        <w:tc>
          <w:tcPr>
            <w:tcW w:w="946" w:type="dxa"/>
          </w:tcPr>
          <w:p w14:paraId="290932AA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13A58826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698A8054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4D1AAA36" w14:textId="54F4EC53" w:rsidTr="0020201B">
        <w:tc>
          <w:tcPr>
            <w:tcW w:w="7413" w:type="dxa"/>
          </w:tcPr>
          <w:p w14:paraId="4CEA21AC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Z chování vedení je zřejmé, že je pro ně bezpečnost důležitější než veřejná pověst.</w:t>
            </w:r>
          </w:p>
        </w:tc>
        <w:tc>
          <w:tcPr>
            <w:tcW w:w="946" w:type="dxa"/>
          </w:tcPr>
          <w:p w14:paraId="174D43E3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6B15C13B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531B1DD1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1D1C7F3D" w14:textId="03886A0B" w:rsidTr="0020201B">
        <w:tc>
          <w:tcPr>
            <w:tcW w:w="7413" w:type="dxa"/>
          </w:tcPr>
          <w:p w14:paraId="1300B495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Vzniklé bezpečnostní problémy řeší vedení rychle a účinně.</w:t>
            </w:r>
          </w:p>
        </w:tc>
        <w:tc>
          <w:tcPr>
            <w:tcW w:w="946" w:type="dxa"/>
          </w:tcPr>
          <w:p w14:paraId="23718B28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40B2AE28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2358EC8F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584BD7ED" w14:textId="73127B31" w:rsidTr="0020201B">
        <w:tc>
          <w:tcPr>
            <w:tcW w:w="7413" w:type="dxa"/>
          </w:tcPr>
          <w:p w14:paraId="694A0918" w14:textId="3C48E08B" w:rsidR="00724635" w:rsidRPr="001E1879" w:rsidRDefault="00724635" w:rsidP="00F757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Pokud je nahlášen bezpečnostní problém, soustředí se vedení na jeho vyřešení, a nikoli na toho, kdo problém nahlásil.</w:t>
            </w:r>
          </w:p>
        </w:tc>
        <w:tc>
          <w:tcPr>
            <w:tcW w:w="946" w:type="dxa"/>
          </w:tcPr>
          <w:p w14:paraId="545CC808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5DFD93C4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270CFB9E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724635" w:rsidRPr="00856448" w14:paraId="654FEFEA" w14:textId="11B0F1B1" w:rsidTr="0020201B">
        <w:tc>
          <w:tcPr>
            <w:tcW w:w="7413" w:type="dxa"/>
          </w:tcPr>
          <w:p w14:paraId="70A782C0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 případě konfliktu mezi bezpečnostními a provozními úkoly má přednost bezpečnost.</w:t>
            </w:r>
          </w:p>
        </w:tc>
        <w:tc>
          <w:tcPr>
            <w:tcW w:w="946" w:type="dxa"/>
          </w:tcPr>
          <w:p w14:paraId="747BF26D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40735E32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4C34DDA1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856448" w14:paraId="7DCE02B8" w14:textId="26712355" w:rsidTr="0020201B">
        <w:tc>
          <w:tcPr>
            <w:tcW w:w="7413" w:type="dxa"/>
          </w:tcPr>
          <w:p w14:paraId="46B3E110" w14:textId="77777777" w:rsidR="00724635" w:rsidRPr="001E1879" w:rsidRDefault="00724635" w:rsidP="0085644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U nových projektů/návrhů je věnován čas otázkám bezpečnosti.</w:t>
            </w:r>
          </w:p>
        </w:tc>
        <w:tc>
          <w:tcPr>
            <w:tcW w:w="946" w:type="dxa"/>
          </w:tcPr>
          <w:p w14:paraId="5D516A2A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783F8D4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5D653FB4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635" w:rsidRPr="00856448" w14:paraId="57F7B836" w14:textId="13C8EA48" w:rsidTr="0020201B">
        <w:tc>
          <w:tcPr>
            <w:tcW w:w="7413" w:type="dxa"/>
          </w:tcPr>
          <w:p w14:paraId="634B39DD" w14:textId="77777777" w:rsidR="00724635" w:rsidRPr="001E1879" w:rsidRDefault="00724635" w:rsidP="00F757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lastRenderedPageBreak/>
              <w:t>Bezpečnosti je věnována stejná pozornost jako ostatním oblastem – výkonnosti, efektivitě, životnímu prostředí apod.</w:t>
            </w:r>
          </w:p>
        </w:tc>
        <w:tc>
          <w:tcPr>
            <w:tcW w:w="946" w:type="dxa"/>
          </w:tcPr>
          <w:p w14:paraId="38BBDE93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205CBED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1DD077FE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724635" w:rsidRPr="001E1879" w14:paraId="4DB152D1" w14:textId="49145515" w:rsidTr="0020201B">
        <w:tc>
          <w:tcPr>
            <w:tcW w:w="7413" w:type="dxa"/>
          </w:tcPr>
          <w:p w14:paraId="5562E328" w14:textId="77777777" w:rsidR="00724635" w:rsidRPr="001E1879" w:rsidRDefault="00724635" w:rsidP="0085644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Odměny a sankce za bezpečnost odpovídají těm za produkci/zisk.</w:t>
            </w:r>
          </w:p>
        </w:tc>
        <w:tc>
          <w:tcPr>
            <w:tcW w:w="946" w:type="dxa"/>
          </w:tcPr>
          <w:p w14:paraId="73863AAF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2D874C37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2C10E052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635" w:rsidRPr="001E1879" w14:paraId="212D0870" w14:textId="7E2EBD89" w:rsidTr="0020201B">
        <w:tc>
          <w:tcPr>
            <w:tcW w:w="7413" w:type="dxa"/>
          </w:tcPr>
          <w:p w14:paraId="26C2FB3D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Organizace pracovní činnosti je řešena s ohledem na bezpečné provádění všech úkonů.</w:t>
            </w:r>
          </w:p>
        </w:tc>
        <w:tc>
          <w:tcPr>
            <w:tcW w:w="946" w:type="dxa"/>
          </w:tcPr>
          <w:p w14:paraId="51690378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0E782965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622A29ED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194C073C" w14:textId="78BEAF4A" w:rsidTr="0020201B">
        <w:tc>
          <w:tcPr>
            <w:tcW w:w="7413" w:type="dxa"/>
          </w:tcPr>
          <w:p w14:paraId="57A969C8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  <w:ind w:left="357" w:hanging="357"/>
            </w:pPr>
            <w:r w:rsidRPr="001E1879">
              <w:t>V organizaci je vše dobře připraveno na mimořádné situace.</w:t>
            </w:r>
          </w:p>
        </w:tc>
        <w:tc>
          <w:tcPr>
            <w:tcW w:w="946" w:type="dxa"/>
          </w:tcPr>
          <w:p w14:paraId="46D6F306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62F771C8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4657B493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60B67FA0" w14:textId="26E9044F" w:rsidTr="0020201B">
        <w:tc>
          <w:tcPr>
            <w:tcW w:w="7413" w:type="dxa"/>
          </w:tcPr>
          <w:p w14:paraId="14BE39A7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 organizaci není vysoká míra absencí, která by byla na úkor bezpečnosti.</w:t>
            </w:r>
          </w:p>
        </w:tc>
        <w:tc>
          <w:tcPr>
            <w:tcW w:w="946" w:type="dxa"/>
          </w:tcPr>
          <w:p w14:paraId="04729AE7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7462D452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54571C98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5F3E21DE" w14:textId="48918CCD" w:rsidTr="0020201B">
        <w:tc>
          <w:tcPr>
            <w:tcW w:w="7413" w:type="dxa"/>
            <w:tcBorders>
              <w:bottom w:val="single" w:sz="4" w:space="0" w:color="auto"/>
            </w:tcBorders>
          </w:tcPr>
          <w:p w14:paraId="544B13A9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Není akceptováno překračování/nedodržování bezpečných provozních parametrů.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2FCF646D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4F1FEC7C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12D37C40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1D560416" w14:textId="73DF28E0" w:rsidTr="0020201B">
        <w:tc>
          <w:tcPr>
            <w:tcW w:w="7413" w:type="dxa"/>
          </w:tcPr>
          <w:p w14:paraId="6DA63BEE" w14:textId="77777777" w:rsidR="00724635" w:rsidRPr="001E1879" w:rsidRDefault="00724635" w:rsidP="0085644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Je podporována dobře fungující týmová práce i spolupráce jednotlivých týmů.</w:t>
            </w:r>
          </w:p>
        </w:tc>
        <w:tc>
          <w:tcPr>
            <w:tcW w:w="946" w:type="dxa"/>
          </w:tcPr>
          <w:p w14:paraId="48E6498B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31972EF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533008A5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635" w:rsidRPr="001E1879" w14:paraId="5802F4B5" w14:textId="13FCF78F" w:rsidTr="0020201B">
        <w:tc>
          <w:tcPr>
            <w:tcW w:w="7413" w:type="dxa"/>
            <w:tcBorders>
              <w:top w:val="single" w:sz="4" w:space="0" w:color="auto"/>
            </w:tcBorders>
          </w:tcPr>
          <w:p w14:paraId="07E785C1" w14:textId="77777777" w:rsidR="00724635" w:rsidRPr="001E1879" w:rsidRDefault="00724635" w:rsidP="00F75752">
            <w:pPr>
              <w:pStyle w:val="Odstavecseseznamem"/>
              <w:numPr>
                <w:ilvl w:val="0"/>
                <w:numId w:val="3"/>
              </w:numPr>
              <w:tabs>
                <w:tab w:val="num" w:pos="1701"/>
              </w:tabs>
              <w:suppressAutoHyphens/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Vedení a vedoucí zaměstnanci mají takovou odbornost, aby mohli všichni členové jejich týmů pracovat bezpečně.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5DCBB6D2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7FDDD4CF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6AB1EB55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724635" w:rsidRPr="001E1879" w14:paraId="408CAE6B" w14:textId="3A050A15" w:rsidTr="0020201B">
        <w:tc>
          <w:tcPr>
            <w:tcW w:w="7413" w:type="dxa"/>
          </w:tcPr>
          <w:p w14:paraId="0472BB6B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Neúčast na školeních není tolerována.</w:t>
            </w:r>
          </w:p>
        </w:tc>
        <w:tc>
          <w:tcPr>
            <w:tcW w:w="946" w:type="dxa"/>
          </w:tcPr>
          <w:p w14:paraId="3020CD34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3E00F1C9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6E60891D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1C75C046" w14:textId="023F30EB" w:rsidTr="0020201B">
        <w:tc>
          <w:tcPr>
            <w:tcW w:w="7413" w:type="dxa"/>
          </w:tcPr>
          <w:p w14:paraId="700C21B3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  <w:ind w:left="357" w:hanging="357"/>
            </w:pPr>
            <w:r w:rsidRPr="001E1879">
              <w:t>Vedoucí zaměstnanci jsou pravidelně vzděláváni v oblasti kultury bezpečnosti.</w:t>
            </w:r>
          </w:p>
        </w:tc>
        <w:tc>
          <w:tcPr>
            <w:tcW w:w="946" w:type="dxa"/>
          </w:tcPr>
          <w:p w14:paraId="53D64B2A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477A45D6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4D4468A2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6B853F3A" w14:textId="2EA3A772" w:rsidTr="0020201B">
        <w:tc>
          <w:tcPr>
            <w:tcW w:w="7413" w:type="dxa"/>
          </w:tcPr>
          <w:p w14:paraId="6C5DF4CD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Pracovní pozice a odpovědnosti jsou jednoznačně definovány a jsou jasné.</w:t>
            </w:r>
          </w:p>
        </w:tc>
        <w:tc>
          <w:tcPr>
            <w:tcW w:w="946" w:type="dxa"/>
          </w:tcPr>
          <w:p w14:paraId="1D58EF3E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0B092E17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575B9130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72F63A7D" w14:textId="3BFB1E56" w:rsidTr="0020201B">
        <w:tc>
          <w:tcPr>
            <w:tcW w:w="7413" w:type="dxa"/>
          </w:tcPr>
          <w:p w14:paraId="71D77D7E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Hierarchie řízení je jasně stanovena.</w:t>
            </w:r>
          </w:p>
        </w:tc>
        <w:tc>
          <w:tcPr>
            <w:tcW w:w="946" w:type="dxa"/>
          </w:tcPr>
          <w:p w14:paraId="652F9548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14497DEA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2BC7991E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7C95DD29" w14:textId="5825280B" w:rsidTr="0020201B">
        <w:tc>
          <w:tcPr>
            <w:tcW w:w="7413" w:type="dxa"/>
          </w:tcPr>
          <w:p w14:paraId="6B2EC704" w14:textId="77777777" w:rsidR="00724635" w:rsidRPr="001E1879" w:rsidRDefault="00724635" w:rsidP="00F757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Je zajištěn dostatek kvalifikovaných zaměstnanců, a to i v období dovolených nebo pro případ výskytu bezpečnostních problémů či neobvyklých situací.</w:t>
            </w:r>
          </w:p>
        </w:tc>
        <w:tc>
          <w:tcPr>
            <w:tcW w:w="946" w:type="dxa"/>
          </w:tcPr>
          <w:p w14:paraId="33548213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23126D41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247E01C5" w14:textId="77777777" w:rsidR="00724635" w:rsidRPr="001E1879" w:rsidRDefault="00724635" w:rsidP="00724635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724635" w:rsidRPr="001E1879" w14:paraId="1F2E9FA9" w14:textId="74FF325A" w:rsidTr="0020201B">
        <w:tc>
          <w:tcPr>
            <w:tcW w:w="7413" w:type="dxa"/>
          </w:tcPr>
          <w:p w14:paraId="1C525FB7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Vedení deleguje příslušné povinnosti v oblasti bezpečnosti na kompetentní zaměstnance.</w:t>
            </w:r>
          </w:p>
        </w:tc>
        <w:tc>
          <w:tcPr>
            <w:tcW w:w="946" w:type="dxa"/>
          </w:tcPr>
          <w:p w14:paraId="5F1EA13F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7F232F0B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7D3BA984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29722D0D" w14:textId="0A4BD8EB" w:rsidTr="0020201B">
        <w:tc>
          <w:tcPr>
            <w:tcW w:w="7413" w:type="dxa"/>
          </w:tcPr>
          <w:p w14:paraId="5AAFE85D" w14:textId="77777777" w:rsidR="00724635" w:rsidRPr="001E1879" w:rsidRDefault="00724635" w:rsidP="00F75752">
            <w:pPr>
              <w:pStyle w:val="Odstavecseseznamem"/>
              <w:numPr>
                <w:ilvl w:val="0"/>
                <w:numId w:val="3"/>
              </w:numPr>
              <w:tabs>
                <w:tab w:val="num" w:pos="1701"/>
              </w:tabs>
              <w:suppressAutoHyphens/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V celkovém rozpočtu jsou stanoveny odpovídající zdroje pro bezpečný provoz a stejně tak jsou příslušné zdroje rychle a operativně poskytnuty v naléhavých případech.</w:t>
            </w:r>
          </w:p>
        </w:tc>
        <w:tc>
          <w:tcPr>
            <w:tcW w:w="946" w:type="dxa"/>
          </w:tcPr>
          <w:p w14:paraId="5CC94C34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60DB0A7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1ACD768E" w14:textId="77777777" w:rsidR="00724635" w:rsidRPr="001E1879" w:rsidRDefault="00724635" w:rsidP="00724635">
            <w:pPr>
              <w:tabs>
                <w:tab w:val="num" w:pos="1701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724635" w:rsidRPr="001E1879" w14:paraId="0672E77C" w14:textId="59AB172A" w:rsidTr="0020201B">
        <w:tc>
          <w:tcPr>
            <w:tcW w:w="7413" w:type="dxa"/>
          </w:tcPr>
          <w:p w14:paraId="1C370977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V organizaci nedochází ke zvýhodňování / k protekci.</w:t>
            </w:r>
          </w:p>
        </w:tc>
        <w:tc>
          <w:tcPr>
            <w:tcW w:w="946" w:type="dxa"/>
          </w:tcPr>
          <w:p w14:paraId="6F9BC8BE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371156C9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13A492E8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597FFB60" w14:textId="38E4E6FC" w:rsidTr="0020201B">
        <w:tc>
          <w:tcPr>
            <w:tcW w:w="7413" w:type="dxa"/>
          </w:tcPr>
          <w:p w14:paraId="01273DF1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S každým je nakládáno s důstojností a respektem.</w:t>
            </w:r>
          </w:p>
        </w:tc>
        <w:tc>
          <w:tcPr>
            <w:tcW w:w="946" w:type="dxa"/>
          </w:tcPr>
          <w:p w14:paraId="720433D6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06B7FE11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407E1BBA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061384DF" w14:textId="5FD4F227" w:rsidTr="0020201B">
        <w:tc>
          <w:tcPr>
            <w:tcW w:w="7413" w:type="dxa"/>
          </w:tcPr>
          <w:p w14:paraId="1DDB6DE4" w14:textId="77777777" w:rsidR="00724635" w:rsidRPr="001E1879" w:rsidRDefault="00724635" w:rsidP="00856448">
            <w:pPr>
              <w:pStyle w:val="Normal1"/>
              <w:numPr>
                <w:ilvl w:val="0"/>
                <w:numId w:val="3"/>
              </w:numPr>
            </w:pPr>
            <w:r w:rsidRPr="001E1879">
              <w:t>Organizační změny nejsou příliš časté.</w:t>
            </w:r>
          </w:p>
        </w:tc>
        <w:tc>
          <w:tcPr>
            <w:tcW w:w="946" w:type="dxa"/>
          </w:tcPr>
          <w:p w14:paraId="2DE3BBAF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946" w:type="dxa"/>
          </w:tcPr>
          <w:p w14:paraId="211C8487" w14:textId="77777777" w:rsidR="00724635" w:rsidRPr="001E1879" w:rsidRDefault="00724635" w:rsidP="00724635">
            <w:pPr>
              <w:pStyle w:val="Normal1"/>
            </w:pPr>
          </w:p>
        </w:tc>
        <w:tc>
          <w:tcPr>
            <w:tcW w:w="4724" w:type="dxa"/>
          </w:tcPr>
          <w:p w14:paraId="075ABB68" w14:textId="77777777" w:rsidR="00724635" w:rsidRPr="001E1879" w:rsidRDefault="00724635" w:rsidP="00724635">
            <w:pPr>
              <w:pStyle w:val="Normal1"/>
            </w:pPr>
          </w:p>
        </w:tc>
      </w:tr>
      <w:tr w:rsidR="00724635" w:rsidRPr="001E1879" w14:paraId="7B2CAD53" w14:textId="58611C99" w:rsidTr="0020201B">
        <w:tc>
          <w:tcPr>
            <w:tcW w:w="7413" w:type="dxa"/>
          </w:tcPr>
          <w:p w14:paraId="35DD059A" w14:textId="77777777" w:rsidR="00724635" w:rsidRPr="001E1879" w:rsidRDefault="00724635" w:rsidP="0085644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V organizaci je nastaven systém pro řízení rizik v souvislosti se změnami.</w:t>
            </w:r>
          </w:p>
        </w:tc>
        <w:tc>
          <w:tcPr>
            <w:tcW w:w="946" w:type="dxa"/>
          </w:tcPr>
          <w:p w14:paraId="5A448516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5DC43656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2092FA04" w14:textId="77777777" w:rsidR="00724635" w:rsidRPr="001E1879" w:rsidRDefault="00724635" w:rsidP="007246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0234D2" w14:textId="77777777" w:rsidR="00856448" w:rsidRPr="001E1879" w:rsidRDefault="00856448" w:rsidP="00856448">
      <w:pPr>
        <w:rPr>
          <w:rFonts w:ascii="Arial" w:hAnsi="Arial" w:cs="Arial"/>
          <w:b/>
          <w:bCs/>
        </w:rPr>
      </w:pPr>
      <w:r w:rsidRPr="001E1879">
        <w:rPr>
          <w:rFonts w:ascii="Arial" w:hAnsi="Arial" w:cs="Arial"/>
          <w:b/>
          <w:bCs/>
        </w:rPr>
        <w:br w:type="page"/>
      </w:r>
    </w:p>
    <w:p w14:paraId="7BB15D3D" w14:textId="77777777" w:rsidR="00856448" w:rsidRPr="001E1879" w:rsidRDefault="00856448" w:rsidP="00856448">
      <w:pPr>
        <w:pStyle w:val="Normal1"/>
        <w:spacing w:after="120"/>
        <w:rPr>
          <w:b/>
          <w:bCs/>
          <w:sz w:val="22"/>
          <w:szCs w:val="22"/>
        </w:rPr>
      </w:pPr>
      <w:r w:rsidRPr="001E1879">
        <w:rPr>
          <w:b/>
          <w:bCs/>
          <w:sz w:val="22"/>
          <w:szCs w:val="22"/>
        </w:rPr>
        <w:lastRenderedPageBreak/>
        <w:t>Komunikace</w:t>
      </w:r>
    </w:p>
    <w:p w14:paraId="5E52DE3A" w14:textId="77777777" w:rsidR="00856448" w:rsidRDefault="00856448" w:rsidP="00856448">
      <w:pPr>
        <w:pStyle w:val="Default"/>
        <w:spacing w:after="120"/>
        <w:jc w:val="both"/>
        <w:rPr>
          <w:i/>
          <w:color w:val="auto"/>
          <w:sz w:val="22"/>
          <w:szCs w:val="22"/>
        </w:rPr>
      </w:pPr>
      <w:r w:rsidRPr="001E1879">
        <w:rPr>
          <w:i/>
          <w:color w:val="auto"/>
          <w:sz w:val="22"/>
          <w:szCs w:val="22"/>
        </w:rPr>
        <w:t xml:space="preserve">Je nezbytné, aby byla komunikace funkční mezi všemi úrovněmi zaměstnanců. V pozitivní kultuře by měly být otázky týkající se bezpečnosti součástí každodenních pracovních rozhovorů. Vedení by mělo aktivně naslouchat tomu, co jim zaměstnanci říkají, a brát vážně to, co slyší. Komunikace uvnitř </w:t>
      </w:r>
      <w:r w:rsidRPr="001E1879">
        <w:rPr>
          <w:i/>
          <w:sz w:val="22"/>
          <w:szCs w:val="22"/>
        </w:rPr>
        <w:t>organizace</w:t>
      </w:r>
      <w:r w:rsidRPr="001E1879">
        <w:rPr>
          <w:i/>
          <w:color w:val="auto"/>
          <w:sz w:val="22"/>
          <w:szCs w:val="22"/>
        </w:rPr>
        <w:t xml:space="preserve"> by měla být taková, aby výměna informací byla svobodná a oboustranná. Vedení by mělo zajistit, aby všichni příslušní zaměstnanci měli přístup ke všem informacím, potřebným pro bezpečnostní problematiku.</w:t>
      </w:r>
    </w:p>
    <w:p w14:paraId="00945E87" w14:textId="77777777" w:rsidR="001E1879" w:rsidRPr="001E1879" w:rsidRDefault="001E1879" w:rsidP="00856448">
      <w:pPr>
        <w:pStyle w:val="Default"/>
        <w:spacing w:after="120"/>
        <w:jc w:val="both"/>
        <w:rPr>
          <w:i/>
          <w:color w:val="auto"/>
          <w:sz w:val="22"/>
          <w:szCs w:val="22"/>
        </w:rPr>
      </w:pPr>
    </w:p>
    <w:tbl>
      <w:tblPr>
        <w:tblStyle w:val="Mkatabulky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992"/>
        <w:gridCol w:w="4678"/>
      </w:tblGrid>
      <w:tr w:rsidR="00D77C90" w:rsidRPr="00856448" w14:paraId="0404E5DB" w14:textId="113BF6DF" w:rsidTr="0020201B">
        <w:tc>
          <w:tcPr>
            <w:tcW w:w="7371" w:type="dxa"/>
          </w:tcPr>
          <w:p w14:paraId="2C2434A8" w14:textId="77777777" w:rsidR="00D77C90" w:rsidRPr="001E1879" w:rsidRDefault="00D77C90" w:rsidP="009C43A4">
            <w:pPr>
              <w:pStyle w:val="Normal1"/>
            </w:pPr>
            <w:r w:rsidRPr="001E1879">
              <w:t xml:space="preserve">Aspekt kultury bezpečnosti – </w:t>
            </w:r>
            <w:r w:rsidRPr="001E1879">
              <w:rPr>
                <w:b/>
                <w:bCs/>
              </w:rPr>
              <w:t>komunikace</w:t>
            </w:r>
          </w:p>
        </w:tc>
        <w:tc>
          <w:tcPr>
            <w:tcW w:w="993" w:type="dxa"/>
          </w:tcPr>
          <w:p w14:paraId="390E2139" w14:textId="169BC223" w:rsidR="00D77C90" w:rsidRPr="001E1879" w:rsidRDefault="0020201B" w:rsidP="00D77C90">
            <w:pPr>
              <w:pStyle w:val="Normal1"/>
            </w:pPr>
            <w:r w:rsidRPr="001E1879">
              <w:t>ANO</w:t>
            </w:r>
          </w:p>
        </w:tc>
        <w:tc>
          <w:tcPr>
            <w:tcW w:w="992" w:type="dxa"/>
          </w:tcPr>
          <w:p w14:paraId="31EC251C" w14:textId="1B5A33D0" w:rsidR="00D77C90" w:rsidRPr="001E1879" w:rsidRDefault="0020201B" w:rsidP="00D77C90">
            <w:pPr>
              <w:pStyle w:val="Normal1"/>
            </w:pPr>
            <w:r w:rsidRPr="001E1879">
              <w:t>NE</w:t>
            </w:r>
          </w:p>
        </w:tc>
        <w:tc>
          <w:tcPr>
            <w:tcW w:w="4678" w:type="dxa"/>
          </w:tcPr>
          <w:p w14:paraId="447A936A" w14:textId="4330D6D2" w:rsidR="00D77C90" w:rsidRPr="001E1879" w:rsidRDefault="0020201B" w:rsidP="00D77C90">
            <w:pPr>
              <w:pStyle w:val="Normal1"/>
            </w:pPr>
            <w:r w:rsidRPr="001E1879">
              <w:t>Poznámka</w:t>
            </w:r>
          </w:p>
        </w:tc>
      </w:tr>
      <w:tr w:rsidR="00D77C90" w:rsidRPr="00856448" w14:paraId="5A0AE24A" w14:textId="46123017" w:rsidTr="0020201B">
        <w:tc>
          <w:tcPr>
            <w:tcW w:w="7371" w:type="dxa"/>
          </w:tcPr>
          <w:p w14:paraId="4AF2A759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V organizaci funguje oboustranná otevřená a upřímná komunikace v oblasti bezpečnosti.</w:t>
            </w:r>
          </w:p>
        </w:tc>
        <w:tc>
          <w:tcPr>
            <w:tcW w:w="993" w:type="dxa"/>
          </w:tcPr>
          <w:p w14:paraId="09F14653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0C783C7F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42CBAAA9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5A1F6A08" w14:textId="40A3A921" w:rsidTr="0020201B">
        <w:tc>
          <w:tcPr>
            <w:tcW w:w="7371" w:type="dxa"/>
          </w:tcPr>
          <w:p w14:paraId="6E980C5E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 xml:space="preserve">Mezi vedením organizace a ostatními zaměstnanci je udržována pozitivní a produktivní atmosféra. </w:t>
            </w:r>
          </w:p>
        </w:tc>
        <w:tc>
          <w:tcPr>
            <w:tcW w:w="993" w:type="dxa"/>
          </w:tcPr>
          <w:p w14:paraId="46821A24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1B531FE7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619C352C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128FDDAD" w14:textId="3265FB81" w:rsidTr="0020201B">
        <w:tc>
          <w:tcPr>
            <w:tcW w:w="7371" w:type="dxa"/>
          </w:tcPr>
          <w:p w14:paraId="0233A6BA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Zaměstnanci dostávají dostatek informací, jak postupovat v zájmu bezpečnosti.</w:t>
            </w:r>
          </w:p>
        </w:tc>
        <w:tc>
          <w:tcPr>
            <w:tcW w:w="993" w:type="dxa"/>
          </w:tcPr>
          <w:p w14:paraId="69A4C427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5E1ACB53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0D6E432E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63859538" w14:textId="6E5EC855" w:rsidTr="0020201B">
        <w:tc>
          <w:tcPr>
            <w:tcW w:w="7371" w:type="dxa"/>
          </w:tcPr>
          <w:p w14:paraId="343800DB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O rizicích v organizaci se běžně a otevřeně mluví.</w:t>
            </w:r>
          </w:p>
        </w:tc>
        <w:tc>
          <w:tcPr>
            <w:tcW w:w="993" w:type="dxa"/>
          </w:tcPr>
          <w:p w14:paraId="440B2017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62C73DE3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45386A07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0701FE54" w14:textId="5381B448" w:rsidTr="0020201B">
        <w:tc>
          <w:tcPr>
            <w:tcW w:w="7371" w:type="dxa"/>
          </w:tcPr>
          <w:p w14:paraId="16BA6003" w14:textId="1D10F7D0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Klíčová zjištění z hodnocení rizik jsou zaměstnancům sdělována a</w:t>
            </w:r>
            <w:r w:rsidR="00556311" w:rsidRPr="001E1879">
              <w:t> </w:t>
            </w:r>
            <w:r w:rsidRPr="001E1879">
              <w:t xml:space="preserve">zaměstnanci je znají. </w:t>
            </w:r>
          </w:p>
        </w:tc>
        <w:tc>
          <w:tcPr>
            <w:tcW w:w="993" w:type="dxa"/>
          </w:tcPr>
          <w:p w14:paraId="2C0ED6C6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0814F306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31EE1E66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2E3241C0" w14:textId="2B614836" w:rsidTr="0020201B">
        <w:tc>
          <w:tcPr>
            <w:tcW w:w="7371" w:type="dxa"/>
          </w:tcPr>
          <w:p w14:paraId="72868892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V organizaci je nastaven postup zajišťující, že zaměstnanci mají přístup ke všem informacím týkajícím se bezpečnosti.</w:t>
            </w:r>
          </w:p>
        </w:tc>
        <w:tc>
          <w:tcPr>
            <w:tcW w:w="993" w:type="dxa"/>
          </w:tcPr>
          <w:p w14:paraId="0FAAE49C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38866481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4E1BFA36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0326575D" w14:textId="68BD7E54" w:rsidTr="0020201B">
        <w:tc>
          <w:tcPr>
            <w:tcW w:w="7371" w:type="dxa"/>
          </w:tcPr>
          <w:p w14:paraId="59112E34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Potřebné informace (např. o změnách, o nových skutečnostech) dostávají zaměstnanci včas.</w:t>
            </w:r>
          </w:p>
        </w:tc>
        <w:tc>
          <w:tcPr>
            <w:tcW w:w="993" w:type="dxa"/>
          </w:tcPr>
          <w:p w14:paraId="54FD7A00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75E14641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48A45959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16123BA0" w14:textId="2110B212" w:rsidTr="0020201B">
        <w:tc>
          <w:tcPr>
            <w:tcW w:w="7371" w:type="dxa"/>
          </w:tcPr>
          <w:p w14:paraId="70F22F6C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Otázky bezpečnosti jsou na programu pravidelných schůzí (od správní rady až po každodenní operativní schůzky).</w:t>
            </w:r>
          </w:p>
        </w:tc>
        <w:tc>
          <w:tcPr>
            <w:tcW w:w="993" w:type="dxa"/>
          </w:tcPr>
          <w:p w14:paraId="39D77F72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7CBD7440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188C2D51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37351AEE" w14:textId="2A472AF6" w:rsidTr="0020201B">
        <w:tc>
          <w:tcPr>
            <w:tcW w:w="7371" w:type="dxa"/>
          </w:tcPr>
          <w:p w14:paraId="54861734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Jednotliví zaměstnanci i pracovní týmy spolu komunikují a koordinují své činnosti tak, aby zajistili bezpečný provoz zařízení.</w:t>
            </w:r>
          </w:p>
        </w:tc>
        <w:tc>
          <w:tcPr>
            <w:tcW w:w="993" w:type="dxa"/>
          </w:tcPr>
          <w:p w14:paraId="54ECDFA9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66EA0BB0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0747EF52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209B8C03" w14:textId="649C26F1" w:rsidTr="0020201B">
        <w:tc>
          <w:tcPr>
            <w:tcW w:w="7371" w:type="dxa"/>
          </w:tcPr>
          <w:p w14:paraId="0B56EBAA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Zaměstnanci jsou přesvědčeni, že jim vedení v oblasti bezpečnosti naslouchá.</w:t>
            </w:r>
          </w:p>
        </w:tc>
        <w:tc>
          <w:tcPr>
            <w:tcW w:w="993" w:type="dxa"/>
          </w:tcPr>
          <w:p w14:paraId="36D11282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56A1FC13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558EE921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486EB650" w14:textId="12CAA747" w:rsidTr="0020201B">
        <w:tc>
          <w:tcPr>
            <w:tcW w:w="7371" w:type="dxa"/>
          </w:tcPr>
          <w:p w14:paraId="0A570BDC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Při střídání směn funguje dostatečná komunikace.</w:t>
            </w:r>
          </w:p>
        </w:tc>
        <w:tc>
          <w:tcPr>
            <w:tcW w:w="993" w:type="dxa"/>
          </w:tcPr>
          <w:p w14:paraId="18ADF728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4E977CE3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037FFC5A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065B6994" w14:textId="7FC56EED" w:rsidTr="0020201B">
        <w:tc>
          <w:tcPr>
            <w:tcW w:w="7371" w:type="dxa"/>
          </w:tcPr>
          <w:p w14:paraId="5A54E82A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O otázkách bezpečnosti zaměstnanci pravidelně diskutují s přímým nadřízeným/podřízeným.</w:t>
            </w:r>
          </w:p>
        </w:tc>
        <w:tc>
          <w:tcPr>
            <w:tcW w:w="993" w:type="dxa"/>
          </w:tcPr>
          <w:p w14:paraId="26569A06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7C7F66D8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543D75E1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76E239A3" w14:textId="29CD4B24" w:rsidTr="0020201B">
        <w:tc>
          <w:tcPr>
            <w:tcW w:w="7371" w:type="dxa"/>
          </w:tcPr>
          <w:p w14:paraId="7BEE0FD4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O otázkách bezpečnosti zaměstnanci pravidelně diskutují se svými kolegy.</w:t>
            </w:r>
          </w:p>
        </w:tc>
        <w:tc>
          <w:tcPr>
            <w:tcW w:w="993" w:type="dxa"/>
          </w:tcPr>
          <w:p w14:paraId="3142517F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49D6CBE1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43C87FCA" w14:textId="77777777" w:rsidR="00D77C90" w:rsidRPr="001E1879" w:rsidRDefault="00D77C90" w:rsidP="00D77C90">
            <w:pPr>
              <w:pStyle w:val="Normal1"/>
            </w:pPr>
          </w:p>
        </w:tc>
      </w:tr>
      <w:tr w:rsidR="00D77C90" w:rsidRPr="00856448" w14:paraId="69FBA494" w14:textId="6A9C1E68" w:rsidTr="0020201B">
        <w:tc>
          <w:tcPr>
            <w:tcW w:w="7371" w:type="dxa"/>
          </w:tcPr>
          <w:p w14:paraId="5FCA2BB5" w14:textId="77777777" w:rsidR="00D77C90" w:rsidRPr="001E1879" w:rsidRDefault="00D77C90" w:rsidP="00856448">
            <w:pPr>
              <w:pStyle w:val="Normal1"/>
              <w:numPr>
                <w:ilvl w:val="0"/>
                <w:numId w:val="4"/>
              </w:numPr>
            </w:pPr>
            <w:r w:rsidRPr="001E1879">
              <w:t>Zaměstnanci provozu a údržby spolu dostatečně komunikují.</w:t>
            </w:r>
          </w:p>
        </w:tc>
        <w:tc>
          <w:tcPr>
            <w:tcW w:w="993" w:type="dxa"/>
          </w:tcPr>
          <w:p w14:paraId="6CE01194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992" w:type="dxa"/>
          </w:tcPr>
          <w:p w14:paraId="16219485" w14:textId="77777777" w:rsidR="00D77C90" w:rsidRPr="001E1879" w:rsidRDefault="00D77C90" w:rsidP="00D77C90">
            <w:pPr>
              <w:pStyle w:val="Normal1"/>
            </w:pPr>
          </w:p>
        </w:tc>
        <w:tc>
          <w:tcPr>
            <w:tcW w:w="4678" w:type="dxa"/>
          </w:tcPr>
          <w:p w14:paraId="02477086" w14:textId="77777777" w:rsidR="00D77C90" w:rsidRPr="001E1879" w:rsidRDefault="00D77C90" w:rsidP="00D77C90">
            <w:pPr>
              <w:pStyle w:val="Normal1"/>
            </w:pPr>
          </w:p>
        </w:tc>
      </w:tr>
    </w:tbl>
    <w:p w14:paraId="07DFDEC9" w14:textId="77777777" w:rsidR="001E1879" w:rsidRDefault="001E1879" w:rsidP="00856448">
      <w:pPr>
        <w:pStyle w:val="Normal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71C2BA" w14:textId="28816A83" w:rsidR="00856448" w:rsidRPr="001E1879" w:rsidRDefault="00856448" w:rsidP="00856448">
      <w:pPr>
        <w:pStyle w:val="Normal1"/>
        <w:spacing w:after="120"/>
        <w:rPr>
          <w:b/>
          <w:bCs/>
          <w:sz w:val="22"/>
          <w:szCs w:val="22"/>
        </w:rPr>
      </w:pPr>
      <w:r w:rsidRPr="001E1879">
        <w:rPr>
          <w:b/>
          <w:bCs/>
          <w:sz w:val="22"/>
          <w:szCs w:val="22"/>
        </w:rPr>
        <w:lastRenderedPageBreak/>
        <w:t>Účast zaměstnanců</w:t>
      </w:r>
    </w:p>
    <w:p w14:paraId="6C481716" w14:textId="77777777" w:rsidR="00856448" w:rsidRDefault="00856448" w:rsidP="00856448">
      <w:pPr>
        <w:pStyle w:val="Default"/>
        <w:spacing w:after="120"/>
        <w:jc w:val="both"/>
        <w:rPr>
          <w:i/>
          <w:color w:val="auto"/>
          <w:sz w:val="22"/>
          <w:szCs w:val="22"/>
        </w:rPr>
      </w:pPr>
      <w:r w:rsidRPr="001E1879">
        <w:rPr>
          <w:i/>
          <w:color w:val="auto"/>
          <w:sz w:val="22"/>
          <w:szCs w:val="22"/>
        </w:rPr>
        <w:t xml:space="preserve">Aktivní účast zaměstnanců na zajištění bezpečnosti je klíčová. Pomáhá vytvářet odpovědnost za bezpečnost na všech úrovních a zároveň využívá jedinečné znalosti, které mají zaměstnanci o své práci. Může zahrnovat aktivní účast na seminářích, přípravu pracovních postupů, provádění hodnocení rizik, projektování zařízení atd. V </w:t>
      </w:r>
      <w:r w:rsidRPr="001E1879">
        <w:rPr>
          <w:i/>
          <w:sz w:val="22"/>
          <w:szCs w:val="22"/>
        </w:rPr>
        <w:t>organizací</w:t>
      </w:r>
      <w:r w:rsidRPr="001E1879">
        <w:rPr>
          <w:i/>
          <w:color w:val="auto"/>
          <w:sz w:val="22"/>
          <w:szCs w:val="22"/>
        </w:rPr>
        <w:t xml:space="preserve">ch s dobrou kulturou se setkáme s tím, že pohled na bezpečnost ze strany zaměstnanců a vedení je shodný a bezpečnost je vnímána jako společné dílo. Pravomoc přijímat klíčová rozhodnutí o bezpečnosti přirozeně přechází na příslušné osoby na základě jejich znalostí a zkušeností, nikoli na základě postavení nebo funkce. </w:t>
      </w:r>
    </w:p>
    <w:p w14:paraId="6E0DBA2D" w14:textId="77777777" w:rsidR="001E1879" w:rsidRPr="001E1879" w:rsidRDefault="001E1879" w:rsidP="00856448">
      <w:pPr>
        <w:pStyle w:val="Default"/>
        <w:spacing w:after="120"/>
        <w:jc w:val="both"/>
        <w:rPr>
          <w:i/>
          <w:color w:val="auto"/>
          <w:sz w:val="22"/>
          <w:szCs w:val="22"/>
        </w:rPr>
      </w:pPr>
    </w:p>
    <w:tbl>
      <w:tblPr>
        <w:tblStyle w:val="Mkatabulky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993"/>
        <w:gridCol w:w="4677"/>
      </w:tblGrid>
      <w:tr w:rsidR="00D64BD1" w:rsidRPr="00856448" w14:paraId="3CD814A5" w14:textId="6A52CE34" w:rsidTr="00D64BD1">
        <w:tc>
          <w:tcPr>
            <w:tcW w:w="7371" w:type="dxa"/>
          </w:tcPr>
          <w:p w14:paraId="24AA85B4" w14:textId="77777777" w:rsidR="00D64BD1" w:rsidRPr="001E1879" w:rsidRDefault="00D64BD1" w:rsidP="009C43A4">
            <w:pPr>
              <w:pStyle w:val="Normal1"/>
            </w:pPr>
            <w:r w:rsidRPr="001E1879">
              <w:t xml:space="preserve">Aspekt kultury bezpečnosti – </w:t>
            </w:r>
            <w:r w:rsidRPr="001E1879">
              <w:rPr>
                <w:b/>
                <w:bCs/>
              </w:rPr>
              <w:t>účast zaměstnanců</w:t>
            </w:r>
          </w:p>
        </w:tc>
        <w:tc>
          <w:tcPr>
            <w:tcW w:w="993" w:type="dxa"/>
          </w:tcPr>
          <w:p w14:paraId="63CDFAB0" w14:textId="020B788A" w:rsidR="00D64BD1" w:rsidRPr="001E1879" w:rsidRDefault="00D64BD1" w:rsidP="00F94AF3">
            <w:pPr>
              <w:pStyle w:val="Normal1"/>
            </w:pPr>
            <w:r w:rsidRPr="001E1879">
              <w:t>ANO</w:t>
            </w:r>
          </w:p>
        </w:tc>
        <w:tc>
          <w:tcPr>
            <w:tcW w:w="993" w:type="dxa"/>
          </w:tcPr>
          <w:p w14:paraId="5DD2BE51" w14:textId="049CEEDA" w:rsidR="00D64BD1" w:rsidRPr="001E1879" w:rsidRDefault="00D64BD1" w:rsidP="00F94AF3">
            <w:pPr>
              <w:pStyle w:val="Normal1"/>
            </w:pPr>
            <w:r w:rsidRPr="001E1879">
              <w:t>NE</w:t>
            </w:r>
          </w:p>
        </w:tc>
        <w:tc>
          <w:tcPr>
            <w:tcW w:w="4677" w:type="dxa"/>
          </w:tcPr>
          <w:p w14:paraId="05BD87C5" w14:textId="6F5AB469" w:rsidR="00D64BD1" w:rsidRPr="001E1879" w:rsidRDefault="00D64BD1" w:rsidP="00F94AF3">
            <w:pPr>
              <w:pStyle w:val="Normal1"/>
            </w:pPr>
            <w:r w:rsidRPr="001E1879">
              <w:t>Poznámka</w:t>
            </w:r>
          </w:p>
        </w:tc>
      </w:tr>
      <w:tr w:rsidR="00D64BD1" w:rsidRPr="00856448" w14:paraId="441784F1" w14:textId="24C23C89" w:rsidTr="00D64BD1">
        <w:tc>
          <w:tcPr>
            <w:tcW w:w="7371" w:type="dxa"/>
          </w:tcPr>
          <w:p w14:paraId="489CD801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Zaměstnanci (na všech úrovních, zejména operátoři) jsou zapojeni do řešení bezpečnostních otázek, včetně posouzení rizik.</w:t>
            </w:r>
          </w:p>
        </w:tc>
        <w:tc>
          <w:tcPr>
            <w:tcW w:w="993" w:type="dxa"/>
          </w:tcPr>
          <w:p w14:paraId="387270AA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3E7BD778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4A992092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0D8EA31E" w14:textId="20827C71" w:rsidTr="00D64BD1">
        <w:tc>
          <w:tcPr>
            <w:tcW w:w="7371" w:type="dxa"/>
          </w:tcPr>
          <w:p w14:paraId="5553DE93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Jednotliví zaměstnanci jsou žádáni o vyjádření k bezpečnostním otázkám.</w:t>
            </w:r>
          </w:p>
        </w:tc>
        <w:tc>
          <w:tcPr>
            <w:tcW w:w="993" w:type="dxa"/>
          </w:tcPr>
          <w:p w14:paraId="007F2EA0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1B9D7BAC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48ECCCB9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102961E2" w14:textId="098D5DF5" w:rsidTr="00D64BD1">
        <w:tc>
          <w:tcPr>
            <w:tcW w:w="7371" w:type="dxa"/>
          </w:tcPr>
          <w:p w14:paraId="34147716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Je podporováno, aby zaměstnanci dávali vlastní podněty pro zvyšování bezpečnosti.</w:t>
            </w:r>
          </w:p>
        </w:tc>
        <w:tc>
          <w:tcPr>
            <w:tcW w:w="993" w:type="dxa"/>
          </w:tcPr>
          <w:p w14:paraId="0AA8AF46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28037EE0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0F5A259F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02939F96" w14:textId="6B635F7D" w:rsidTr="00D64BD1">
        <w:tc>
          <w:tcPr>
            <w:tcW w:w="7371" w:type="dxa"/>
          </w:tcPr>
          <w:p w14:paraId="1E9CDB3E" w14:textId="2C32387A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Zaměstnanci se vždy účastní tvorby písemných postupů.</w:t>
            </w:r>
          </w:p>
        </w:tc>
        <w:tc>
          <w:tcPr>
            <w:tcW w:w="993" w:type="dxa"/>
          </w:tcPr>
          <w:p w14:paraId="629C1C0D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0DACB434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5E532FDA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51FDD6C3" w14:textId="00F23882" w:rsidTr="00D64BD1">
        <w:tc>
          <w:tcPr>
            <w:tcW w:w="7371" w:type="dxa"/>
          </w:tcPr>
          <w:p w14:paraId="745DEA99" w14:textId="77777777" w:rsidR="00D64BD1" w:rsidRPr="001E1879" w:rsidRDefault="00D64BD1" w:rsidP="00856448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 w:rsidRPr="001E1879">
              <w:rPr>
                <w:color w:val="auto"/>
              </w:rPr>
              <w:t>Zaměstnanci mají příležitost předávat své myšlenky a návrhy, týkající se bezpečnosti, třeba i anonymně.</w:t>
            </w:r>
          </w:p>
        </w:tc>
        <w:tc>
          <w:tcPr>
            <w:tcW w:w="993" w:type="dxa"/>
          </w:tcPr>
          <w:p w14:paraId="7F614BF0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  <w:tc>
          <w:tcPr>
            <w:tcW w:w="993" w:type="dxa"/>
          </w:tcPr>
          <w:p w14:paraId="522FF2FE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  <w:tc>
          <w:tcPr>
            <w:tcW w:w="4677" w:type="dxa"/>
          </w:tcPr>
          <w:p w14:paraId="676E7C96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</w:tr>
      <w:tr w:rsidR="00D64BD1" w:rsidRPr="00856448" w14:paraId="27C88782" w14:textId="6F67FDF4" w:rsidTr="00D64BD1">
        <w:tc>
          <w:tcPr>
            <w:tcW w:w="7371" w:type="dxa"/>
          </w:tcPr>
          <w:p w14:paraId="1224C5E4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 xml:space="preserve">Zaměstnanci (operátoři) hlásí nebezpečné podmínky nebo </w:t>
            </w:r>
            <w:proofErr w:type="spellStart"/>
            <w:r w:rsidRPr="001E1879">
              <w:t>skoronehody</w:t>
            </w:r>
            <w:proofErr w:type="spellEnd"/>
            <w:r w:rsidRPr="001E1879">
              <w:t>.</w:t>
            </w:r>
          </w:p>
        </w:tc>
        <w:tc>
          <w:tcPr>
            <w:tcW w:w="993" w:type="dxa"/>
          </w:tcPr>
          <w:p w14:paraId="4985BECF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41E491F0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03866A1D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406A21CD" w14:textId="0DDD8EAD" w:rsidTr="00D64BD1">
        <w:tc>
          <w:tcPr>
            <w:tcW w:w="7371" w:type="dxa"/>
          </w:tcPr>
          <w:p w14:paraId="53034B3C" w14:textId="0626A6AF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Je vytvořena příznivá atmosféra pro to, aby všichni zaměstnanci mohli podniknout akce v zájmu bezpečnosti bez strachu z možných negativních následků.</w:t>
            </w:r>
          </w:p>
        </w:tc>
        <w:tc>
          <w:tcPr>
            <w:tcW w:w="993" w:type="dxa"/>
          </w:tcPr>
          <w:p w14:paraId="79570C13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2BD0ACF2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07B732CE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7D6F4B8F" w14:textId="2E9869B1" w:rsidTr="00D64BD1">
        <w:tc>
          <w:tcPr>
            <w:tcW w:w="7371" w:type="dxa"/>
          </w:tcPr>
          <w:p w14:paraId="429F899E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V organizaci existuje aktivní, strukturované zapojení zaměstnanců (operátorů) v oblasti bezpečnosti, např. workshopy, projekty, bezpečnostní kolečka.</w:t>
            </w:r>
          </w:p>
        </w:tc>
        <w:tc>
          <w:tcPr>
            <w:tcW w:w="993" w:type="dxa"/>
          </w:tcPr>
          <w:p w14:paraId="45280188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5957C1E6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281B831E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2F89B8D4" w14:textId="325A7FD4" w:rsidTr="00D64BD1">
        <w:tc>
          <w:tcPr>
            <w:tcW w:w="7371" w:type="dxa"/>
          </w:tcPr>
          <w:p w14:paraId="31B2B2FF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V organizaci funguje skutečná spolupráce v oblasti bezpečnosti – společné úsilí všech zaměstnanců.</w:t>
            </w:r>
          </w:p>
        </w:tc>
        <w:tc>
          <w:tcPr>
            <w:tcW w:w="993" w:type="dxa"/>
          </w:tcPr>
          <w:p w14:paraId="3DBCF36E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19998463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54E6C620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609CEF11" w14:textId="0DA0F870" w:rsidTr="00D64BD1">
        <w:tc>
          <w:tcPr>
            <w:tcW w:w="7371" w:type="dxa"/>
          </w:tcPr>
          <w:p w14:paraId="51846ED6" w14:textId="10936680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t>Odpovědnost za řešení bezpečnostních otázek je přidělována na základě znalostí a zkušeností, nikoliv na základě postavení nebo funkce.</w:t>
            </w:r>
          </w:p>
        </w:tc>
        <w:tc>
          <w:tcPr>
            <w:tcW w:w="993" w:type="dxa"/>
          </w:tcPr>
          <w:p w14:paraId="5FB64A55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2E91A6AE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7367A385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856448" w14:paraId="443A202E" w14:textId="3DB109DC" w:rsidTr="00D64BD1">
        <w:trPr>
          <w:trHeight w:val="278"/>
        </w:trPr>
        <w:tc>
          <w:tcPr>
            <w:tcW w:w="7371" w:type="dxa"/>
          </w:tcPr>
          <w:p w14:paraId="7F8C4B85" w14:textId="77777777" w:rsidR="00D64BD1" w:rsidRPr="001E1879" w:rsidRDefault="00D64BD1" w:rsidP="008564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Na podněty a připomínky zaměstnanců je adekvátně reagováno.</w:t>
            </w:r>
          </w:p>
        </w:tc>
        <w:tc>
          <w:tcPr>
            <w:tcW w:w="993" w:type="dxa"/>
          </w:tcPr>
          <w:p w14:paraId="18E43169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5521D74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BD40B85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4BD1" w:rsidRPr="00856448" w14:paraId="3D65BAA2" w14:textId="7B1C06FE" w:rsidTr="00D64BD1">
        <w:tc>
          <w:tcPr>
            <w:tcW w:w="7371" w:type="dxa"/>
          </w:tcPr>
          <w:p w14:paraId="04F17016" w14:textId="42FDDA93" w:rsidR="00D64BD1" w:rsidRPr="001E1879" w:rsidRDefault="00D64BD1" w:rsidP="00856448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 w:rsidRPr="001E1879">
              <w:rPr>
                <w:color w:val="auto"/>
              </w:rPr>
              <w:t>Relevantní podněty zaměstnanců v oblasti bezpečnosti jsou v</w:t>
            </w:r>
            <w:r w:rsidR="00383D43" w:rsidRPr="001E1879">
              <w:rPr>
                <w:color w:val="auto"/>
              </w:rPr>
              <w:t> </w:t>
            </w:r>
            <w:r w:rsidRPr="001E1879">
              <w:t>organizac</w:t>
            </w:r>
            <w:r w:rsidRPr="001E1879">
              <w:rPr>
                <w:color w:val="auto"/>
              </w:rPr>
              <w:t>i zaváděny.</w:t>
            </w:r>
          </w:p>
        </w:tc>
        <w:tc>
          <w:tcPr>
            <w:tcW w:w="993" w:type="dxa"/>
          </w:tcPr>
          <w:p w14:paraId="4326927C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  <w:tc>
          <w:tcPr>
            <w:tcW w:w="993" w:type="dxa"/>
          </w:tcPr>
          <w:p w14:paraId="5D155A5D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  <w:tc>
          <w:tcPr>
            <w:tcW w:w="4677" w:type="dxa"/>
          </w:tcPr>
          <w:p w14:paraId="7D45278B" w14:textId="77777777" w:rsidR="00D64BD1" w:rsidRPr="001E1879" w:rsidRDefault="00D64BD1" w:rsidP="00F94AF3">
            <w:pPr>
              <w:pStyle w:val="Default"/>
              <w:rPr>
                <w:color w:val="auto"/>
              </w:rPr>
            </w:pPr>
          </w:p>
        </w:tc>
      </w:tr>
      <w:tr w:rsidR="00D64BD1" w:rsidRPr="001E1879" w14:paraId="0EBA8BCE" w14:textId="14F62FB3" w:rsidTr="00D64BD1">
        <w:tc>
          <w:tcPr>
            <w:tcW w:w="7371" w:type="dxa"/>
          </w:tcPr>
          <w:p w14:paraId="02B5AD00" w14:textId="77777777" w:rsidR="00D64BD1" w:rsidRPr="001E1879" w:rsidRDefault="00D64BD1" w:rsidP="00856448">
            <w:pPr>
              <w:pStyle w:val="Normal1"/>
              <w:numPr>
                <w:ilvl w:val="0"/>
                <w:numId w:val="9"/>
              </w:numPr>
            </w:pPr>
            <w:r w:rsidRPr="001E1879">
              <w:lastRenderedPageBreak/>
              <w:t>Bezpečnost je odpovědností každého jednotlivce.</w:t>
            </w:r>
          </w:p>
        </w:tc>
        <w:tc>
          <w:tcPr>
            <w:tcW w:w="993" w:type="dxa"/>
          </w:tcPr>
          <w:p w14:paraId="652C2D99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993" w:type="dxa"/>
          </w:tcPr>
          <w:p w14:paraId="537DF53F" w14:textId="77777777" w:rsidR="00D64BD1" w:rsidRPr="001E1879" w:rsidRDefault="00D64BD1" w:rsidP="00F94AF3">
            <w:pPr>
              <w:pStyle w:val="Normal1"/>
            </w:pPr>
          </w:p>
        </w:tc>
        <w:tc>
          <w:tcPr>
            <w:tcW w:w="4677" w:type="dxa"/>
          </w:tcPr>
          <w:p w14:paraId="4390B17B" w14:textId="77777777" w:rsidR="00D64BD1" w:rsidRPr="001E1879" w:rsidRDefault="00D64BD1" w:rsidP="00F94AF3">
            <w:pPr>
              <w:pStyle w:val="Normal1"/>
            </w:pPr>
          </w:p>
        </w:tc>
      </w:tr>
      <w:tr w:rsidR="00D64BD1" w:rsidRPr="001E1879" w14:paraId="708F48A6" w14:textId="50A44401" w:rsidTr="00D64BD1">
        <w:tc>
          <w:tcPr>
            <w:tcW w:w="7371" w:type="dxa"/>
          </w:tcPr>
          <w:p w14:paraId="25921729" w14:textId="77777777" w:rsidR="00D64BD1" w:rsidRPr="001E1879" w:rsidRDefault="00D64BD1" w:rsidP="002D53D6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357" w:hanging="357"/>
              <w:jc w:val="left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Systémové změny jsou prováděny s ohledem na uživatele, a proto jsou zapojeni odborníci z praxe.</w:t>
            </w:r>
          </w:p>
        </w:tc>
        <w:tc>
          <w:tcPr>
            <w:tcW w:w="993" w:type="dxa"/>
          </w:tcPr>
          <w:p w14:paraId="16F7C9C5" w14:textId="77777777" w:rsidR="00D64BD1" w:rsidRPr="001E1879" w:rsidRDefault="00D64BD1" w:rsidP="00F94AF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5F9E91C" w14:textId="77777777" w:rsidR="00D64BD1" w:rsidRPr="001E1879" w:rsidRDefault="00D64BD1" w:rsidP="00F94AF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8D1BE18" w14:textId="77777777" w:rsidR="00D64BD1" w:rsidRPr="001E1879" w:rsidRDefault="00D64BD1" w:rsidP="00F94AF3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D64BD1" w:rsidRPr="001E1879" w14:paraId="742F7E8F" w14:textId="4143BB62" w:rsidTr="00D64BD1">
        <w:tc>
          <w:tcPr>
            <w:tcW w:w="7371" w:type="dxa"/>
          </w:tcPr>
          <w:p w14:paraId="43E2F075" w14:textId="77777777" w:rsidR="00D64BD1" w:rsidRPr="001E1879" w:rsidRDefault="00D64BD1" w:rsidP="008564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1E1879">
              <w:rPr>
                <w:rFonts w:ascii="Arial" w:hAnsi="Arial" w:cs="Arial"/>
              </w:rPr>
              <w:t>Změny s vlivem na bezpečnost jsou s dotčenými zaměstnanci z provozu konzultovány.</w:t>
            </w:r>
          </w:p>
        </w:tc>
        <w:tc>
          <w:tcPr>
            <w:tcW w:w="993" w:type="dxa"/>
          </w:tcPr>
          <w:p w14:paraId="1BDC0B0A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76041B5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E7865DB" w14:textId="77777777" w:rsidR="00D64BD1" w:rsidRPr="001E1879" w:rsidRDefault="00D64BD1" w:rsidP="00F94A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D9D507" w14:textId="77777777" w:rsidR="00B93C35" w:rsidRDefault="00B93C35" w:rsidP="00856448">
      <w:pPr>
        <w:rPr>
          <w:rFonts w:ascii="Arial" w:hAnsi="Arial" w:cs="Arial"/>
          <w:b/>
          <w:bCs/>
        </w:rPr>
      </w:pPr>
    </w:p>
    <w:p w14:paraId="5D4438FB" w14:textId="77777777" w:rsidR="00856448" w:rsidRPr="00856448" w:rsidRDefault="00856448" w:rsidP="00856448">
      <w:pPr>
        <w:pStyle w:val="Normal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448">
        <w:rPr>
          <w:rFonts w:asciiTheme="minorHAnsi" w:hAnsiTheme="minorHAnsi" w:cstheme="minorHAnsi"/>
          <w:b/>
          <w:bCs/>
          <w:sz w:val="22"/>
          <w:szCs w:val="22"/>
        </w:rPr>
        <w:t>Školení a informace</w:t>
      </w:r>
    </w:p>
    <w:p w14:paraId="1D4AE188" w14:textId="77777777" w:rsidR="00856448" w:rsidRPr="00856448" w:rsidRDefault="00856448" w:rsidP="00856448">
      <w:pPr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 xml:space="preserve">Jde o šíření informací v organizaci, které se týkají bezpečnosti, jejich včasnost a dostatečný rozsah. Vedení by se mělo snažit vytvořit prosperující bezpečnou organizaci. Aby tohoto cíle dosáhlo, musí nastavit systém, který napomáhá zajistit, že: </w:t>
      </w:r>
    </w:p>
    <w:p w14:paraId="5CBAEAE8" w14:textId="77777777" w:rsidR="00856448" w:rsidRPr="00856448" w:rsidRDefault="00856448" w:rsidP="00856448">
      <w:pPr>
        <w:numPr>
          <w:ilvl w:val="0"/>
          <w:numId w:val="1"/>
        </w:numPr>
        <w:suppressAutoHyphens/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>všichni zaměstnanci jasně chápou své pracovní úkoly;</w:t>
      </w:r>
    </w:p>
    <w:p w14:paraId="09D2B195" w14:textId="77777777" w:rsidR="00856448" w:rsidRPr="00856448" w:rsidRDefault="00856448" w:rsidP="00856448">
      <w:pPr>
        <w:numPr>
          <w:ilvl w:val="0"/>
          <w:numId w:val="1"/>
        </w:numPr>
        <w:suppressAutoHyphens/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>personální obsazení na všech úrovních odpovídá pracovním povinnostem a má odpovídající odbornost;</w:t>
      </w:r>
    </w:p>
    <w:p w14:paraId="72F358CC" w14:textId="5EAB35B7" w:rsidR="00856448" w:rsidRPr="00856448" w:rsidRDefault="00856448" w:rsidP="00856448">
      <w:pPr>
        <w:numPr>
          <w:ilvl w:val="0"/>
          <w:numId w:val="1"/>
        </w:numPr>
        <w:suppressAutoHyphens/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>všichni zaměstnanci jsou školeni</w:t>
      </w:r>
      <w:r w:rsidR="00566E3C">
        <w:rPr>
          <w:rFonts w:cstheme="minorHAnsi"/>
          <w:i/>
        </w:rPr>
        <w:t>,</w:t>
      </w:r>
      <w:r w:rsidRPr="00856448">
        <w:rPr>
          <w:rFonts w:cstheme="minorHAnsi"/>
          <w:i/>
        </w:rPr>
        <w:t xml:space="preserve"> jsou schopni používat své znalosti pro bezpečný výkon svých pracovních úkolů a jsou odborně schopni zvládat i havarijní situace;</w:t>
      </w:r>
    </w:p>
    <w:p w14:paraId="7CA288BC" w14:textId="77777777" w:rsidR="00856448" w:rsidRPr="00856448" w:rsidRDefault="00856448" w:rsidP="00856448">
      <w:pPr>
        <w:numPr>
          <w:ilvl w:val="0"/>
          <w:numId w:val="1"/>
        </w:numPr>
        <w:suppressAutoHyphens/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>zaměstnanci dostávají zpětnou vazbu o bezpečnostních aspektech své práce.</w:t>
      </w:r>
    </w:p>
    <w:p w14:paraId="0264939B" w14:textId="77777777" w:rsidR="00856448" w:rsidRPr="00856448" w:rsidRDefault="00856448" w:rsidP="00856448">
      <w:pPr>
        <w:suppressAutoHyphens/>
        <w:spacing w:line="240" w:lineRule="auto"/>
        <w:contextualSpacing/>
        <w:rPr>
          <w:rFonts w:cstheme="minorHAnsi"/>
          <w:i/>
        </w:rPr>
      </w:pPr>
      <w:r w:rsidRPr="00856448">
        <w:rPr>
          <w:rFonts w:cstheme="minorHAnsi"/>
          <w:i/>
        </w:rPr>
        <w:t>Vedení organizace by mělo usilovat o zvýšení povědomí o rizicích a jejich pochopení jako prostředku k neustálému zlepšování výkonnosti v oblasti bezpečnosti.</w:t>
      </w: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7366"/>
        <w:gridCol w:w="993"/>
        <w:gridCol w:w="993"/>
        <w:gridCol w:w="4677"/>
      </w:tblGrid>
      <w:tr w:rsidR="007457CE" w:rsidRPr="00856448" w14:paraId="18A58E90" w14:textId="20488881" w:rsidTr="00D64BD1">
        <w:tc>
          <w:tcPr>
            <w:tcW w:w="7366" w:type="dxa"/>
          </w:tcPr>
          <w:p w14:paraId="677F45CC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  <w:b/>
                <w:bCs/>
              </w:rPr>
            </w:pPr>
            <w:r w:rsidRPr="00856448">
              <w:rPr>
                <w:rFonts w:asciiTheme="minorHAnsi" w:hAnsiTheme="minorHAnsi" w:cstheme="minorHAnsi"/>
              </w:rPr>
              <w:t xml:space="preserve">Aspekt kultury bezpečnosti – </w:t>
            </w:r>
            <w:r w:rsidRPr="00856448">
              <w:rPr>
                <w:rFonts w:asciiTheme="minorHAnsi" w:hAnsiTheme="minorHAnsi" w:cstheme="minorHAnsi"/>
                <w:b/>
                <w:bCs/>
              </w:rPr>
              <w:t>školení a informace</w:t>
            </w:r>
          </w:p>
        </w:tc>
        <w:tc>
          <w:tcPr>
            <w:tcW w:w="993" w:type="dxa"/>
          </w:tcPr>
          <w:p w14:paraId="07BA3548" w14:textId="0CD1689D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93" w:type="dxa"/>
          </w:tcPr>
          <w:p w14:paraId="785CDDD0" w14:textId="58A702E2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4677" w:type="dxa"/>
          </w:tcPr>
          <w:p w14:paraId="19A96E3E" w14:textId="1A268C9E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7457CE" w:rsidRPr="00856448" w14:paraId="1365BB46" w14:textId="059C9FA0" w:rsidTr="00D64BD1">
        <w:tc>
          <w:tcPr>
            <w:tcW w:w="7366" w:type="dxa"/>
          </w:tcPr>
          <w:p w14:paraId="225AE090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Vzdělávání v oblasti bezpečnosti je pravidelné a přínosné.</w:t>
            </w:r>
          </w:p>
        </w:tc>
        <w:tc>
          <w:tcPr>
            <w:tcW w:w="993" w:type="dxa"/>
          </w:tcPr>
          <w:p w14:paraId="13CBBB05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91BECD6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4A47864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3EBEF80C" w14:textId="234A53B3" w:rsidTr="00D64BD1">
        <w:tc>
          <w:tcPr>
            <w:tcW w:w="7366" w:type="dxa"/>
          </w:tcPr>
          <w:p w14:paraId="40CE206E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Plánovaná školení jsou prováděna ve stanovených termínech (bez odkladů, bez zpoždění).</w:t>
            </w:r>
          </w:p>
        </w:tc>
        <w:tc>
          <w:tcPr>
            <w:tcW w:w="993" w:type="dxa"/>
          </w:tcPr>
          <w:p w14:paraId="333333B6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F4EF9A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579B0CC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666F4C8C" w14:textId="4F90EFC8" w:rsidTr="00D64BD1">
        <w:tc>
          <w:tcPr>
            <w:tcW w:w="7366" w:type="dxa"/>
          </w:tcPr>
          <w:p w14:paraId="3F3EC744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Školení k bezpečnosti je plně provázáno s příklady z praxe.</w:t>
            </w:r>
          </w:p>
        </w:tc>
        <w:tc>
          <w:tcPr>
            <w:tcW w:w="993" w:type="dxa"/>
          </w:tcPr>
          <w:p w14:paraId="51998EF0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C0E7DD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064BB409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E19B321" w14:textId="6A74766A" w:rsidTr="00D64BD1">
        <w:tc>
          <w:tcPr>
            <w:tcW w:w="7366" w:type="dxa"/>
          </w:tcPr>
          <w:p w14:paraId="56D896B0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V případě vzniku mimořádné události každý zaměstnanec ví, co má dělat.</w:t>
            </w:r>
          </w:p>
        </w:tc>
        <w:tc>
          <w:tcPr>
            <w:tcW w:w="993" w:type="dxa"/>
          </w:tcPr>
          <w:p w14:paraId="55A546FF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25FAB62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10EFB9F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01F1DE5" w14:textId="2E97FCE8" w:rsidTr="00D64BD1">
        <w:tc>
          <w:tcPr>
            <w:tcW w:w="7366" w:type="dxa"/>
          </w:tcPr>
          <w:p w14:paraId="4AF9E6FC" w14:textId="0E935496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V organizaci je nastaven postup k identifikování potřeb školení o</w:t>
            </w:r>
            <w:r w:rsidR="00383D43">
              <w:rPr>
                <w:rFonts w:asciiTheme="minorHAnsi" w:hAnsiTheme="minorHAnsi" w:cstheme="minorHAnsi"/>
              </w:rPr>
              <w:t> </w:t>
            </w:r>
            <w:r w:rsidRPr="00856448">
              <w:rPr>
                <w:rFonts w:asciiTheme="minorHAnsi" w:hAnsiTheme="minorHAnsi" w:cstheme="minorHAnsi"/>
              </w:rPr>
              <w:t>bezpečnosti jednotlivých (pracovních pozic) zaměstnanců.</w:t>
            </w:r>
          </w:p>
        </w:tc>
        <w:tc>
          <w:tcPr>
            <w:tcW w:w="993" w:type="dxa"/>
          </w:tcPr>
          <w:p w14:paraId="56802E15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BC1D5C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17CE2614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25B04070" w14:textId="57905B41" w:rsidTr="00D64BD1">
        <w:tc>
          <w:tcPr>
            <w:tcW w:w="7366" w:type="dxa"/>
          </w:tcPr>
          <w:p w14:paraId="74CADDEA" w14:textId="2F6EAD5E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mají jistotu, že absolvovali všechna potřebná školení pro </w:t>
            </w:r>
            <w:r>
              <w:rPr>
                <w:rFonts w:asciiTheme="minorHAnsi" w:hAnsiTheme="minorHAnsi" w:cstheme="minorHAnsi"/>
              </w:rPr>
              <w:t>svou</w:t>
            </w:r>
            <w:r w:rsidRPr="00856448">
              <w:rPr>
                <w:rFonts w:asciiTheme="minorHAnsi" w:hAnsiTheme="minorHAnsi" w:cstheme="minorHAnsi"/>
              </w:rPr>
              <w:t xml:space="preserve"> každodenní pracovní činnost i pro mimořádné situace.</w:t>
            </w:r>
          </w:p>
        </w:tc>
        <w:tc>
          <w:tcPr>
            <w:tcW w:w="993" w:type="dxa"/>
          </w:tcPr>
          <w:p w14:paraId="199A3FB9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CFBB51F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5809BD15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D93D4C1" w14:textId="06200260" w:rsidTr="00D64BD1">
        <w:tc>
          <w:tcPr>
            <w:tcW w:w="7366" w:type="dxa"/>
          </w:tcPr>
          <w:p w14:paraId="75A4C7D9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Školení o bezpečnosti efektivně splňuje požadavky a potřeby zaměstnanců vzhledem k náročnosti a odbornosti prováděné práce.</w:t>
            </w:r>
          </w:p>
        </w:tc>
        <w:tc>
          <w:tcPr>
            <w:tcW w:w="993" w:type="dxa"/>
          </w:tcPr>
          <w:p w14:paraId="1AA83ACC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3A1CE4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1507DFDD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668A57CB" w14:textId="76FD7754" w:rsidTr="00D64BD1">
        <w:tc>
          <w:tcPr>
            <w:tcW w:w="7366" w:type="dxa"/>
          </w:tcPr>
          <w:p w14:paraId="3B55D2F2" w14:textId="1888ED69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jsou školeni o rizicích technologických operací a</w:t>
            </w:r>
            <w:r w:rsidR="00383D43">
              <w:rPr>
                <w:rFonts w:asciiTheme="minorHAnsi" w:hAnsiTheme="minorHAnsi" w:cstheme="minorHAnsi"/>
              </w:rPr>
              <w:t> </w:t>
            </w:r>
            <w:r w:rsidRPr="00856448">
              <w:rPr>
                <w:rFonts w:asciiTheme="minorHAnsi" w:hAnsiTheme="minorHAnsi" w:cstheme="minorHAnsi"/>
              </w:rPr>
              <w:t>o</w:t>
            </w:r>
            <w:r w:rsidR="00383D43">
              <w:rPr>
                <w:rFonts w:asciiTheme="minorHAnsi" w:hAnsiTheme="minorHAnsi" w:cstheme="minorHAnsi"/>
              </w:rPr>
              <w:t> </w:t>
            </w:r>
            <w:r w:rsidRPr="00856448">
              <w:rPr>
                <w:rFonts w:asciiTheme="minorHAnsi" w:hAnsiTheme="minorHAnsi" w:cstheme="minorHAnsi"/>
              </w:rPr>
              <w:t>materiálech, které se používají.</w:t>
            </w:r>
          </w:p>
        </w:tc>
        <w:tc>
          <w:tcPr>
            <w:tcW w:w="993" w:type="dxa"/>
          </w:tcPr>
          <w:p w14:paraId="0E2D8E1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ED503F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4D7C3A1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48265B2" w14:textId="372277D6" w:rsidTr="00D64BD1">
        <w:tc>
          <w:tcPr>
            <w:tcW w:w="7366" w:type="dxa"/>
          </w:tcPr>
          <w:p w14:paraId="6456E454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lastRenderedPageBreak/>
              <w:t>Zaměstnanci dostávají odpovídající informace o bezpečnosti a těmto informacím rozumějí.</w:t>
            </w:r>
          </w:p>
        </w:tc>
        <w:tc>
          <w:tcPr>
            <w:tcW w:w="993" w:type="dxa"/>
          </w:tcPr>
          <w:p w14:paraId="53172859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40E271F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05C1EC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3DE78BE" w14:textId="07ECCF6D" w:rsidTr="00D64BD1">
        <w:tc>
          <w:tcPr>
            <w:tcW w:w="7366" w:type="dxa"/>
          </w:tcPr>
          <w:p w14:paraId="49844F2E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jsou dostatečně proškoleni, aby rozuměli pracovním postupům, které se týkají jejich práce, a používali je.</w:t>
            </w:r>
          </w:p>
        </w:tc>
        <w:tc>
          <w:tcPr>
            <w:tcW w:w="993" w:type="dxa"/>
          </w:tcPr>
          <w:p w14:paraId="1596C98D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D9B771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22DE42F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5CEB833C" w14:textId="3A8912A0" w:rsidTr="00D64BD1">
        <w:tc>
          <w:tcPr>
            <w:tcW w:w="7366" w:type="dxa"/>
          </w:tcPr>
          <w:p w14:paraId="38CAF37B" w14:textId="5FECDF99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Školení i poskytované informace jsou v jazyce/jazycích, kterému</w:t>
            </w:r>
            <w:r>
              <w:rPr>
                <w:rFonts w:asciiTheme="minorHAnsi" w:hAnsiTheme="minorHAnsi" w:cstheme="minorHAnsi"/>
              </w:rPr>
              <w:t>/kterým</w:t>
            </w:r>
            <w:r w:rsidRPr="00856448">
              <w:rPr>
                <w:rFonts w:asciiTheme="minorHAnsi" w:hAnsiTheme="minorHAnsi" w:cstheme="minorHAnsi"/>
              </w:rPr>
              <w:t xml:space="preserve"> všichni zaměstnanci rozumějí.</w:t>
            </w:r>
          </w:p>
        </w:tc>
        <w:tc>
          <w:tcPr>
            <w:tcW w:w="993" w:type="dxa"/>
          </w:tcPr>
          <w:p w14:paraId="7BA21D04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4B519A0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379C652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19C5504" w14:textId="58D71CE4" w:rsidTr="00D64BD1">
        <w:tc>
          <w:tcPr>
            <w:tcW w:w="7366" w:type="dxa"/>
          </w:tcPr>
          <w:p w14:paraId="52166E8F" w14:textId="77777777" w:rsidR="007457CE" w:rsidRPr="00856448" w:rsidRDefault="007457CE" w:rsidP="007457CE">
            <w:pPr>
              <w:pStyle w:val="Normal1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Bezpečnostní informace jsou aktuální a snadno dostupné.</w:t>
            </w:r>
          </w:p>
        </w:tc>
        <w:tc>
          <w:tcPr>
            <w:tcW w:w="993" w:type="dxa"/>
          </w:tcPr>
          <w:p w14:paraId="0C3E689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D589F3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F7C29C6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8196C95" w14:textId="5B23F449" w:rsidTr="00D64BD1">
        <w:tc>
          <w:tcPr>
            <w:tcW w:w="7366" w:type="dxa"/>
          </w:tcPr>
          <w:p w14:paraId="257657F7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Zveřejňování materiálů se vztahem k bezpečnosti je zajištěno (např. na nástěnkách, pomocí newsletterů, e-mailem, cílenými kampaněmi, pobídkovými programy).</w:t>
            </w:r>
          </w:p>
        </w:tc>
        <w:tc>
          <w:tcPr>
            <w:tcW w:w="993" w:type="dxa"/>
          </w:tcPr>
          <w:p w14:paraId="1D3D1D57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15E29965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0D5F715C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22C3D301" w14:textId="7102CB81" w:rsidTr="00D64BD1">
        <w:tc>
          <w:tcPr>
            <w:tcW w:w="7366" w:type="dxa"/>
          </w:tcPr>
          <w:p w14:paraId="12675F68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Všeobecná úroveň odbornosti zaměstnanců je odpovídající.</w:t>
            </w:r>
          </w:p>
        </w:tc>
        <w:tc>
          <w:tcPr>
            <w:tcW w:w="993" w:type="dxa"/>
          </w:tcPr>
          <w:p w14:paraId="0E2514CD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0EB2DF4C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13461292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235BE0DB" w14:textId="788C0DC4" w:rsidTr="00D64BD1">
        <w:tc>
          <w:tcPr>
            <w:tcW w:w="7366" w:type="dxa"/>
          </w:tcPr>
          <w:p w14:paraId="4D828602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Zaměstnanci znají a jsou jim dostupné všechny nezbytné předpisy, pravidla a postupy.</w:t>
            </w:r>
          </w:p>
        </w:tc>
        <w:tc>
          <w:tcPr>
            <w:tcW w:w="993" w:type="dxa"/>
          </w:tcPr>
          <w:p w14:paraId="51DADEDE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5A96F26B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2FF91B67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772855CA" w14:textId="5106E7A2" w:rsidTr="00D64BD1">
        <w:tc>
          <w:tcPr>
            <w:tcW w:w="7366" w:type="dxa"/>
          </w:tcPr>
          <w:p w14:paraId="16CDFB24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K dispozici jsou užitečné školicí podklady a kompetentní školitelé.</w:t>
            </w:r>
          </w:p>
        </w:tc>
        <w:tc>
          <w:tcPr>
            <w:tcW w:w="993" w:type="dxa"/>
          </w:tcPr>
          <w:p w14:paraId="6452601B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5D3C94BD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10F12193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227D2898" w14:textId="2DF33944" w:rsidTr="00D64BD1">
        <w:tc>
          <w:tcPr>
            <w:tcW w:w="7366" w:type="dxa"/>
          </w:tcPr>
          <w:p w14:paraId="61700BAF" w14:textId="5C32A12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Pravidelně jsou prováděny kontroly aktuálnosti a správnosti bezpečnostních informací (pravidel, postupů, schémat, diagramů, značení…)</w:t>
            </w:r>
            <w:r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993" w:type="dxa"/>
          </w:tcPr>
          <w:p w14:paraId="0996C56E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2D81D4D9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66E8B8F2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1120B3BD" w14:textId="6FB2FF78" w:rsidTr="00D64BD1">
        <w:tc>
          <w:tcPr>
            <w:tcW w:w="7366" w:type="dxa"/>
          </w:tcPr>
          <w:p w14:paraId="368B17E6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Je stanovena odpovědnost za plánování a provádění školení (v oblasti bezpečnosti).</w:t>
            </w:r>
          </w:p>
        </w:tc>
        <w:tc>
          <w:tcPr>
            <w:tcW w:w="993" w:type="dxa"/>
          </w:tcPr>
          <w:p w14:paraId="536BEFD0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20347653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40FF93B5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37120276" w14:textId="4786C177" w:rsidTr="00D64BD1">
        <w:tc>
          <w:tcPr>
            <w:tcW w:w="7366" w:type="dxa"/>
          </w:tcPr>
          <w:p w14:paraId="2E9C23B1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Je stanovena odpovědnost za předávání a distribuci bezpečnostních informací.</w:t>
            </w:r>
          </w:p>
        </w:tc>
        <w:tc>
          <w:tcPr>
            <w:tcW w:w="993" w:type="dxa"/>
          </w:tcPr>
          <w:p w14:paraId="469CF17C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049A9185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17B8D4D7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02102252" w14:textId="38EDEFAD" w:rsidTr="00D64BD1">
        <w:tc>
          <w:tcPr>
            <w:tcW w:w="7366" w:type="dxa"/>
          </w:tcPr>
          <w:p w14:paraId="48F53572" w14:textId="3FE8F15F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Seznámení se změnami, stejně jako výcvik/zaškolení pro práci na novém zařízení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  <w:r w:rsidRPr="00856448">
              <w:rPr>
                <w:rFonts w:asciiTheme="minorHAnsi" w:hAnsiTheme="minorHAnsi" w:cstheme="minorHAnsi"/>
                <w:color w:val="auto"/>
              </w:rPr>
              <w:t xml:space="preserve"> je prováděno včas.</w:t>
            </w:r>
          </w:p>
        </w:tc>
        <w:tc>
          <w:tcPr>
            <w:tcW w:w="993" w:type="dxa"/>
          </w:tcPr>
          <w:p w14:paraId="11A032D5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0340094B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1B109591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457CE" w:rsidRPr="00856448" w14:paraId="0E807D40" w14:textId="0C3C80E4" w:rsidTr="00D64BD1">
        <w:tc>
          <w:tcPr>
            <w:tcW w:w="7366" w:type="dxa"/>
          </w:tcPr>
          <w:p w14:paraId="40015757" w14:textId="77777777" w:rsidR="007457CE" w:rsidRPr="00856448" w:rsidRDefault="007457CE" w:rsidP="007457C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</w:rPr>
            </w:pPr>
            <w:r w:rsidRPr="00856448">
              <w:rPr>
                <w:rFonts w:asciiTheme="minorHAnsi" w:hAnsiTheme="minorHAnsi" w:cstheme="minorHAnsi"/>
                <w:color w:val="auto"/>
              </w:rPr>
              <w:t>Existuje přehled o současném stavu bezpečnosti v organizaci.</w:t>
            </w:r>
          </w:p>
        </w:tc>
        <w:tc>
          <w:tcPr>
            <w:tcW w:w="993" w:type="dxa"/>
          </w:tcPr>
          <w:p w14:paraId="44EEA2CA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3" w:type="dxa"/>
          </w:tcPr>
          <w:p w14:paraId="77EB350B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677" w:type="dxa"/>
          </w:tcPr>
          <w:p w14:paraId="08295218" w14:textId="77777777" w:rsidR="007457CE" w:rsidRPr="00856448" w:rsidRDefault="007457CE" w:rsidP="007457C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251C628" w14:textId="6AE6C4E9" w:rsidR="00856448" w:rsidRDefault="00856448" w:rsidP="00856448">
      <w:pPr>
        <w:rPr>
          <w:rFonts w:cstheme="minorHAnsi"/>
          <w:b/>
          <w:bCs/>
        </w:rPr>
      </w:pPr>
    </w:p>
    <w:p w14:paraId="20E20BD7" w14:textId="77777777" w:rsidR="00B93C35" w:rsidRDefault="00B93C35" w:rsidP="00856448">
      <w:pPr>
        <w:rPr>
          <w:rFonts w:cstheme="minorHAnsi"/>
          <w:b/>
          <w:bCs/>
        </w:rPr>
      </w:pPr>
    </w:p>
    <w:p w14:paraId="12CCCFCE" w14:textId="77777777" w:rsidR="00B93C35" w:rsidRDefault="00B93C35" w:rsidP="00856448">
      <w:pPr>
        <w:rPr>
          <w:rFonts w:cstheme="minorHAnsi"/>
          <w:b/>
          <w:bCs/>
        </w:rPr>
      </w:pPr>
    </w:p>
    <w:p w14:paraId="5CF4E04F" w14:textId="77777777" w:rsidR="00B93C35" w:rsidRDefault="00B93C35" w:rsidP="00856448">
      <w:pPr>
        <w:rPr>
          <w:rFonts w:cstheme="minorHAnsi"/>
          <w:b/>
          <w:bCs/>
        </w:rPr>
      </w:pPr>
    </w:p>
    <w:p w14:paraId="0233B770" w14:textId="77777777" w:rsidR="00B93C35" w:rsidRDefault="00B93C35" w:rsidP="00856448">
      <w:pPr>
        <w:rPr>
          <w:rFonts w:cstheme="minorHAnsi"/>
          <w:b/>
          <w:bCs/>
        </w:rPr>
      </w:pPr>
    </w:p>
    <w:p w14:paraId="48C6E256" w14:textId="77777777" w:rsidR="00B93C35" w:rsidRPr="00856448" w:rsidRDefault="00B93C35" w:rsidP="00856448">
      <w:pPr>
        <w:rPr>
          <w:rFonts w:cstheme="minorHAnsi"/>
          <w:b/>
          <w:bCs/>
        </w:rPr>
      </w:pPr>
    </w:p>
    <w:p w14:paraId="462BD86E" w14:textId="77777777" w:rsidR="00856448" w:rsidRPr="00856448" w:rsidRDefault="00856448" w:rsidP="00856448">
      <w:pPr>
        <w:pStyle w:val="Normal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44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Motivace </w:t>
      </w:r>
    </w:p>
    <w:p w14:paraId="1B1ABD05" w14:textId="77777777" w:rsidR="00856448" w:rsidRPr="00856448" w:rsidRDefault="00856448" w:rsidP="00856448">
      <w:pPr>
        <w:autoSpaceDE w:val="0"/>
        <w:autoSpaceDN w:val="0"/>
        <w:adjustRightInd w:val="0"/>
        <w:spacing w:line="240" w:lineRule="auto"/>
        <w:rPr>
          <w:rFonts w:cstheme="minorHAnsi"/>
          <w:i/>
        </w:rPr>
      </w:pPr>
      <w:r w:rsidRPr="00856448">
        <w:rPr>
          <w:rFonts w:cstheme="minorHAnsi"/>
          <w:i/>
        </w:rPr>
        <w:t xml:space="preserve">Motivace úzce souvisí se závazkem vedení. Podpora zaměstnanců ze strany vedení a nastavení ovzduší, které podporuje vzájemnou důvěru, jsou nezbytné pro bezpečný provoz zařízení. Takové klima dává zaměstnancům pocit, že jsou důležitou součástí organizace a že jejich bezpečné chování / přístup k bezpečnosti a dodržování nastavených postupů má smysl. Měly by být vytvořeny obousměrné komunikační cesty pro přenos informací týkajících se bezpečnosti mezi vedením organizace a zaměstnanci. To přispěje k vytvoření a udržení vysoké úrovně motivace všech zaměstnanců k bezpečnému provozu. V zájmu snížení rizika lidské chyby by zaměstnanci měli být podněcováni ke vzájemné výměně zkušeností. </w:t>
      </w:r>
    </w:p>
    <w:tbl>
      <w:tblPr>
        <w:tblStyle w:val="Mkatabulky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993"/>
        <w:gridCol w:w="4677"/>
      </w:tblGrid>
      <w:tr w:rsidR="007457CE" w:rsidRPr="00856448" w14:paraId="7726D452" w14:textId="5B4F8CEF" w:rsidTr="00D64BD1">
        <w:tc>
          <w:tcPr>
            <w:tcW w:w="7371" w:type="dxa"/>
          </w:tcPr>
          <w:p w14:paraId="6BD2201C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  <w:b/>
                <w:bCs/>
              </w:rPr>
            </w:pPr>
            <w:r w:rsidRPr="00856448">
              <w:rPr>
                <w:rFonts w:asciiTheme="minorHAnsi" w:hAnsiTheme="minorHAnsi" w:cstheme="minorHAnsi"/>
              </w:rPr>
              <w:t xml:space="preserve">Aspekt kultury bezpečnosti – </w:t>
            </w:r>
            <w:r w:rsidRPr="00856448">
              <w:rPr>
                <w:rFonts w:asciiTheme="minorHAnsi" w:hAnsiTheme="minorHAnsi" w:cstheme="minorHAnsi"/>
                <w:b/>
                <w:bCs/>
              </w:rPr>
              <w:t>motivace</w:t>
            </w:r>
          </w:p>
        </w:tc>
        <w:tc>
          <w:tcPr>
            <w:tcW w:w="993" w:type="dxa"/>
          </w:tcPr>
          <w:p w14:paraId="15928AB6" w14:textId="0CC8DB90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93" w:type="dxa"/>
          </w:tcPr>
          <w:p w14:paraId="2D4F0A7C" w14:textId="109BE002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4677" w:type="dxa"/>
          </w:tcPr>
          <w:p w14:paraId="15DE8924" w14:textId="46ED6526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7457CE" w:rsidRPr="00856448" w14:paraId="156A3B5B" w14:textId="7FAF039C" w:rsidTr="00D64BD1">
        <w:tc>
          <w:tcPr>
            <w:tcW w:w="7371" w:type="dxa"/>
          </w:tcPr>
          <w:p w14:paraId="27AC3B43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Vedení poskytuje zpětnou vazbu ohledně výkonu v oblasti bezpečnosti.</w:t>
            </w:r>
          </w:p>
        </w:tc>
        <w:tc>
          <w:tcPr>
            <w:tcW w:w="993" w:type="dxa"/>
          </w:tcPr>
          <w:p w14:paraId="262AB2F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7A5AA7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82A68A9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1F9348C3" w14:textId="0CC7D9B0" w:rsidTr="00D64BD1">
        <w:tc>
          <w:tcPr>
            <w:tcW w:w="7371" w:type="dxa"/>
          </w:tcPr>
          <w:p w14:paraId="2773C683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Je podporována důvěra mezi zaměstnanci i pracovními skupinami napříč organizací.</w:t>
            </w:r>
          </w:p>
        </w:tc>
        <w:tc>
          <w:tcPr>
            <w:tcW w:w="993" w:type="dxa"/>
          </w:tcPr>
          <w:p w14:paraId="4A674CF5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11DB81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9F6EE8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48E31E9" w14:textId="6362464C" w:rsidTr="00D64BD1">
        <w:tc>
          <w:tcPr>
            <w:tcW w:w="7371" w:type="dxa"/>
          </w:tcPr>
          <w:p w14:paraId="705B2B04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Zaměstnanci, kteří kladou důraz na bezpečnost, jsou za to odměňováni.</w:t>
            </w:r>
          </w:p>
        </w:tc>
        <w:tc>
          <w:tcPr>
            <w:tcW w:w="993" w:type="dxa"/>
          </w:tcPr>
          <w:p w14:paraId="4A0AC8F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F9DE1C6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C2FAF7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21ECB691" w14:textId="76EF57CB" w:rsidTr="00D64BD1">
        <w:tc>
          <w:tcPr>
            <w:tcW w:w="7371" w:type="dxa"/>
          </w:tcPr>
          <w:p w14:paraId="0E1DA26C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Je pravděpodobné, že si vedoucí zaměstnanci všimnou nebezpečného chování / nebezpečných činů.</w:t>
            </w:r>
          </w:p>
        </w:tc>
        <w:tc>
          <w:tcPr>
            <w:tcW w:w="993" w:type="dxa"/>
          </w:tcPr>
          <w:p w14:paraId="024E57B7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F3F8F21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5707FA82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7432ABD" w14:textId="37D69E94" w:rsidTr="00D64BD1">
        <w:trPr>
          <w:trHeight w:val="458"/>
        </w:trPr>
        <w:tc>
          <w:tcPr>
            <w:tcW w:w="7371" w:type="dxa"/>
          </w:tcPr>
          <w:p w14:paraId="1124AE66" w14:textId="77777777" w:rsidR="007457CE" w:rsidRPr="00856448" w:rsidRDefault="007457CE" w:rsidP="007457C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Vedoucí zaměstnanci (na všech úrovních) vždy zakročí proti nebezpečnému chování / nebezpečným činům.</w:t>
            </w:r>
          </w:p>
        </w:tc>
        <w:tc>
          <w:tcPr>
            <w:tcW w:w="993" w:type="dxa"/>
          </w:tcPr>
          <w:p w14:paraId="23410F0A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2DA7D4B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3F8E6909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74C29D06" w14:textId="2B285B43" w:rsidTr="00D64BD1">
        <w:tc>
          <w:tcPr>
            <w:tcW w:w="7371" w:type="dxa"/>
          </w:tcPr>
          <w:p w14:paraId="76CB6A86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Vždy je vyžadováno dodržování bezpečnostních předpisů.</w:t>
            </w:r>
          </w:p>
        </w:tc>
        <w:tc>
          <w:tcPr>
            <w:tcW w:w="993" w:type="dxa"/>
          </w:tcPr>
          <w:p w14:paraId="44814AC1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0D46E5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641D5BB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B30A94C" w14:textId="4235CBD0" w:rsidTr="00D64BD1">
        <w:tc>
          <w:tcPr>
            <w:tcW w:w="7371" w:type="dxa"/>
          </w:tcPr>
          <w:p w14:paraId="690EE33E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znají očekávání manažerů.</w:t>
            </w:r>
          </w:p>
        </w:tc>
        <w:tc>
          <w:tcPr>
            <w:tcW w:w="993" w:type="dxa"/>
          </w:tcPr>
          <w:p w14:paraId="26A17879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25E75B0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24D8B93D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4C3E218E" w14:textId="3153DB67" w:rsidTr="00D64BD1">
        <w:tc>
          <w:tcPr>
            <w:tcW w:w="7371" w:type="dxa"/>
          </w:tcPr>
          <w:p w14:paraId="14DBB868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mají pocit, že je tu dobré místo pro práci.</w:t>
            </w:r>
          </w:p>
        </w:tc>
        <w:tc>
          <w:tcPr>
            <w:tcW w:w="993" w:type="dxa"/>
          </w:tcPr>
          <w:p w14:paraId="1467DD5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4611FFF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914BDCE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64820B41" w14:textId="46B74D2F" w:rsidTr="00D64BD1">
        <w:tc>
          <w:tcPr>
            <w:tcW w:w="7371" w:type="dxa"/>
          </w:tcPr>
          <w:p w14:paraId="069A3223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Zaměstnanci jsou na svou organizaci hrdí.</w:t>
            </w:r>
          </w:p>
        </w:tc>
        <w:tc>
          <w:tcPr>
            <w:tcW w:w="993" w:type="dxa"/>
          </w:tcPr>
          <w:p w14:paraId="09C9B6A0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DB43367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0118DB3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457CE" w:rsidRPr="00856448" w14:paraId="7232610E" w14:textId="322B2560" w:rsidTr="00D64BD1">
        <w:tc>
          <w:tcPr>
            <w:tcW w:w="7371" w:type="dxa"/>
          </w:tcPr>
          <w:p w14:paraId="6BF6B2B3" w14:textId="77777777" w:rsidR="007457CE" w:rsidRPr="00856448" w:rsidRDefault="007457CE" w:rsidP="007457CE">
            <w:pPr>
              <w:pStyle w:val="Normal1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6448">
              <w:rPr>
                <w:rFonts w:asciiTheme="minorHAnsi" w:hAnsiTheme="minorHAnsi" w:cstheme="minorHAnsi"/>
              </w:rPr>
              <w:t>Je podporován pozitivní vztah k bezpečnosti.</w:t>
            </w:r>
          </w:p>
        </w:tc>
        <w:tc>
          <w:tcPr>
            <w:tcW w:w="993" w:type="dxa"/>
          </w:tcPr>
          <w:p w14:paraId="67A4EC52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7930480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3C45939A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11C242CF" w14:textId="77777777" w:rsidR="00856448" w:rsidRPr="00856448" w:rsidRDefault="00856448" w:rsidP="00856448">
      <w:pPr>
        <w:rPr>
          <w:rFonts w:cstheme="minorHAnsi"/>
          <w:b/>
          <w:bCs/>
        </w:rPr>
      </w:pPr>
      <w:r w:rsidRPr="00856448">
        <w:rPr>
          <w:rFonts w:cstheme="minorHAnsi"/>
          <w:b/>
          <w:bCs/>
        </w:rPr>
        <w:br w:type="page"/>
      </w:r>
    </w:p>
    <w:p w14:paraId="6489C841" w14:textId="77777777" w:rsidR="00856448" w:rsidRPr="00856448" w:rsidRDefault="00856448" w:rsidP="00856448">
      <w:pPr>
        <w:pStyle w:val="Normal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448">
        <w:rPr>
          <w:rFonts w:asciiTheme="minorHAnsi" w:hAnsiTheme="minorHAnsi" w:cstheme="minorHAnsi"/>
          <w:b/>
          <w:bCs/>
          <w:sz w:val="22"/>
          <w:szCs w:val="22"/>
        </w:rPr>
        <w:lastRenderedPageBreak/>
        <w:t>Dodržování pracovních postupů, bezpečné chování</w:t>
      </w:r>
    </w:p>
    <w:p w14:paraId="14D44347" w14:textId="5B1C7C3E" w:rsidR="00856448" w:rsidRPr="00856448" w:rsidRDefault="00856448" w:rsidP="00856448">
      <w:pPr>
        <w:autoSpaceDE w:val="0"/>
        <w:autoSpaceDN w:val="0"/>
        <w:adjustRightInd w:val="0"/>
        <w:spacing w:line="240" w:lineRule="auto"/>
        <w:rPr>
          <w:rFonts w:cstheme="minorHAnsi"/>
          <w:i/>
        </w:rPr>
      </w:pPr>
      <w:r w:rsidRPr="00856448">
        <w:rPr>
          <w:rFonts w:cstheme="minorHAnsi"/>
          <w:i/>
        </w:rPr>
        <w:t>Jde o projevy chování zaměstnanců, do jaké míry směřují k dodržování bezpečnosti, tj. zachovávání stanovených pracovních postupů, technologií apod. K rizikovým činnostem by měly být vždy zpracovány písemné postupy se vztahem k bezpečnosti. Postupy by měly být předány zaměstnancům a pomocí školení by mělo být zajištěno, že tyto postupy budou pochopeny a</w:t>
      </w:r>
      <w:r w:rsidR="009A175C">
        <w:rPr>
          <w:rFonts w:cstheme="minorHAnsi"/>
          <w:i/>
        </w:rPr>
        <w:t> </w:t>
      </w:r>
      <w:r w:rsidRPr="00856448">
        <w:rPr>
          <w:rFonts w:cstheme="minorHAnsi"/>
          <w:i/>
        </w:rPr>
        <w:t>dodržovány.</w:t>
      </w:r>
    </w:p>
    <w:tbl>
      <w:tblPr>
        <w:tblStyle w:val="Mkatabulky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992"/>
        <w:gridCol w:w="4678"/>
      </w:tblGrid>
      <w:tr w:rsidR="007457CE" w:rsidRPr="00856448" w14:paraId="76E61B5F" w14:textId="61A5018C" w:rsidTr="007457CE">
        <w:tc>
          <w:tcPr>
            <w:tcW w:w="7371" w:type="dxa"/>
          </w:tcPr>
          <w:p w14:paraId="2E25B038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  <w:b/>
                <w:bCs/>
              </w:rPr>
            </w:pPr>
            <w:r w:rsidRPr="00856448">
              <w:rPr>
                <w:rFonts w:asciiTheme="minorHAnsi" w:hAnsiTheme="minorHAnsi" w:cstheme="minorHAnsi"/>
              </w:rPr>
              <w:t xml:space="preserve">Aspekt kultury bezpečnosti – </w:t>
            </w:r>
            <w:r w:rsidRPr="00856448">
              <w:rPr>
                <w:rFonts w:asciiTheme="minorHAnsi" w:hAnsiTheme="minorHAnsi" w:cstheme="minorHAnsi"/>
                <w:b/>
                <w:bCs/>
              </w:rPr>
              <w:t>dodržování pracovních postupů, bezpečné chování</w:t>
            </w:r>
          </w:p>
        </w:tc>
        <w:tc>
          <w:tcPr>
            <w:tcW w:w="993" w:type="dxa"/>
          </w:tcPr>
          <w:p w14:paraId="38C9A0B7" w14:textId="419CAC39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92" w:type="dxa"/>
          </w:tcPr>
          <w:p w14:paraId="7A1CC557" w14:textId="3287F12E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4678" w:type="dxa"/>
          </w:tcPr>
          <w:p w14:paraId="12394662" w14:textId="243C4FD3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7457CE" w:rsidRPr="00856448" w14:paraId="61AEB04B" w14:textId="48EE840F" w:rsidTr="007457CE">
        <w:tc>
          <w:tcPr>
            <w:tcW w:w="7371" w:type="dxa"/>
          </w:tcPr>
          <w:p w14:paraId="74B51334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Pracoviště jsou běžně udržována čistá a upravená.</w:t>
            </w:r>
          </w:p>
        </w:tc>
        <w:tc>
          <w:tcPr>
            <w:tcW w:w="993" w:type="dxa"/>
          </w:tcPr>
          <w:p w14:paraId="0FDB61EA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56B4C8F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014D18AE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2CB0C37" w14:textId="705DF85C" w:rsidTr="007457CE">
        <w:tc>
          <w:tcPr>
            <w:tcW w:w="7371" w:type="dxa"/>
          </w:tcPr>
          <w:p w14:paraId="05AE1793" w14:textId="77777777" w:rsidR="007457CE" w:rsidRPr="00856448" w:rsidRDefault="007457CE" w:rsidP="00383D43">
            <w:pPr>
              <w:numPr>
                <w:ilvl w:val="0"/>
                <w:numId w:val="7"/>
              </w:numPr>
              <w:tabs>
                <w:tab w:val="left" w:pos="2268"/>
              </w:tabs>
              <w:suppressAutoHyphens/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se vždy automaticky řídí bezpečnostními postupy, opatřeními a pokyny.</w:t>
            </w:r>
          </w:p>
        </w:tc>
        <w:tc>
          <w:tcPr>
            <w:tcW w:w="993" w:type="dxa"/>
          </w:tcPr>
          <w:p w14:paraId="19A04744" w14:textId="77777777" w:rsidR="007457CE" w:rsidRPr="00856448" w:rsidRDefault="007457CE" w:rsidP="007457CE">
            <w:pPr>
              <w:tabs>
                <w:tab w:val="left" w:pos="2268"/>
              </w:tabs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651773B" w14:textId="77777777" w:rsidR="007457CE" w:rsidRPr="00856448" w:rsidRDefault="007457CE" w:rsidP="007457CE">
            <w:pPr>
              <w:tabs>
                <w:tab w:val="left" w:pos="2268"/>
              </w:tabs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600DDC5C" w14:textId="77777777" w:rsidR="007457CE" w:rsidRPr="00856448" w:rsidRDefault="007457CE" w:rsidP="007457CE">
            <w:pPr>
              <w:tabs>
                <w:tab w:val="left" w:pos="2268"/>
              </w:tabs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1CD37BA5" w14:textId="19783BF5" w:rsidTr="007457CE">
        <w:tc>
          <w:tcPr>
            <w:tcW w:w="7371" w:type="dxa"/>
          </w:tcPr>
          <w:p w14:paraId="42A05B18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Neexistuje zde snaha o obcházení bezpečnostních požadavků, i když je k tomu příležitost.</w:t>
            </w:r>
          </w:p>
        </w:tc>
        <w:tc>
          <w:tcPr>
            <w:tcW w:w="993" w:type="dxa"/>
          </w:tcPr>
          <w:p w14:paraId="101FAC8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B7A64B1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34A0DCB4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EF4A417" w14:textId="196C0BB9" w:rsidTr="007457CE">
        <w:tc>
          <w:tcPr>
            <w:tcW w:w="7371" w:type="dxa"/>
          </w:tcPr>
          <w:p w14:paraId="783B1DD6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Mezi zaměstnanci dochází běžně k aktivní vzájemné pomoci, aby pracovní činnost probíhala bezpečně.</w:t>
            </w:r>
          </w:p>
        </w:tc>
        <w:tc>
          <w:tcPr>
            <w:tcW w:w="993" w:type="dxa"/>
          </w:tcPr>
          <w:p w14:paraId="4BA14455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C0D18F7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610A85FB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0C66356B" w14:textId="5A610530" w:rsidTr="007457CE">
        <w:tc>
          <w:tcPr>
            <w:tcW w:w="7371" w:type="dxa"/>
          </w:tcPr>
          <w:p w14:paraId="5A47B7E2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Dodržování předpisů je stanoveno jako povinnost každého zaměstnance.</w:t>
            </w:r>
          </w:p>
        </w:tc>
        <w:tc>
          <w:tcPr>
            <w:tcW w:w="993" w:type="dxa"/>
          </w:tcPr>
          <w:p w14:paraId="3E6307F1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5E6A5AF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5710EC16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73911F7C" w14:textId="50041BC5" w:rsidTr="007457CE">
        <w:tc>
          <w:tcPr>
            <w:tcW w:w="7371" w:type="dxa"/>
          </w:tcPr>
          <w:p w14:paraId="481BF4F4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vykonávají svou činnost bezpečně i bez dozoru nadřízeného.</w:t>
            </w:r>
          </w:p>
        </w:tc>
        <w:tc>
          <w:tcPr>
            <w:tcW w:w="993" w:type="dxa"/>
          </w:tcPr>
          <w:p w14:paraId="1C2ABB47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5D982DA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48AA3885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279E9FB5" w14:textId="12B7AF02" w:rsidTr="007457CE">
        <w:tc>
          <w:tcPr>
            <w:tcW w:w="7371" w:type="dxa"/>
          </w:tcPr>
          <w:p w14:paraId="2171D900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rozumějí tomu, že dodržování bezpečnostních opatření ochraňuje především je samé.</w:t>
            </w:r>
          </w:p>
        </w:tc>
        <w:tc>
          <w:tcPr>
            <w:tcW w:w="993" w:type="dxa"/>
          </w:tcPr>
          <w:p w14:paraId="7B0BD40D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F1F5387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BC19C6C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3A5A00C5" w14:textId="457C448E" w:rsidTr="007457CE">
        <w:tc>
          <w:tcPr>
            <w:tcW w:w="7371" w:type="dxa"/>
          </w:tcPr>
          <w:p w14:paraId="0B6199E8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jsou seznámeni s písemnými postupy a jejich znění rozumějí.</w:t>
            </w:r>
          </w:p>
        </w:tc>
        <w:tc>
          <w:tcPr>
            <w:tcW w:w="993" w:type="dxa"/>
          </w:tcPr>
          <w:p w14:paraId="74B4D732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1CF3C06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4B5EE29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4AF9CB1" w14:textId="2F12B26B" w:rsidTr="007457CE">
        <w:tc>
          <w:tcPr>
            <w:tcW w:w="7371" w:type="dxa"/>
          </w:tcPr>
          <w:p w14:paraId="29DC54D8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Písemné postupy jsou užitečné.</w:t>
            </w:r>
          </w:p>
        </w:tc>
        <w:tc>
          <w:tcPr>
            <w:tcW w:w="993" w:type="dxa"/>
          </w:tcPr>
          <w:p w14:paraId="4054996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04EEBB9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7B5378A0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3B42C0C" w14:textId="12E0F48F" w:rsidTr="007457CE">
        <w:tc>
          <w:tcPr>
            <w:tcW w:w="7371" w:type="dxa"/>
          </w:tcPr>
          <w:p w14:paraId="601AEAF2" w14:textId="5C22F9C6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Písemné postupy obsahují potřebné, nikoli nadbytečné (zdlouhavé a</w:t>
            </w:r>
            <w:r w:rsidR="00383D43">
              <w:rPr>
                <w:rFonts w:cstheme="minorHAnsi"/>
              </w:rPr>
              <w:t> </w:t>
            </w:r>
            <w:r w:rsidRPr="00856448">
              <w:rPr>
                <w:rFonts w:cstheme="minorHAnsi"/>
              </w:rPr>
              <w:t>zbytečné) informace.</w:t>
            </w:r>
          </w:p>
        </w:tc>
        <w:tc>
          <w:tcPr>
            <w:tcW w:w="993" w:type="dxa"/>
          </w:tcPr>
          <w:p w14:paraId="11C5A9A7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4B1E01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5B12C65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54CDCE7A" w14:textId="4433013D" w:rsidTr="007457CE">
        <w:tc>
          <w:tcPr>
            <w:tcW w:w="7371" w:type="dxa"/>
          </w:tcPr>
          <w:p w14:paraId="320A6B94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Bezpečnostních postupů a pravidel není příliš mnoho.</w:t>
            </w:r>
          </w:p>
        </w:tc>
        <w:tc>
          <w:tcPr>
            <w:tcW w:w="993" w:type="dxa"/>
          </w:tcPr>
          <w:p w14:paraId="59159138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E84D818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73C34FFB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4ED2DAC7" w14:textId="5446D4AA" w:rsidTr="007457CE">
        <w:tc>
          <w:tcPr>
            <w:tcW w:w="7371" w:type="dxa"/>
          </w:tcPr>
          <w:p w14:paraId="7677039F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Dodržování bezpečných postupů, pravidel a opatření je účinně kontrolováno.</w:t>
            </w:r>
          </w:p>
        </w:tc>
        <w:tc>
          <w:tcPr>
            <w:tcW w:w="993" w:type="dxa"/>
          </w:tcPr>
          <w:p w14:paraId="37C7AE7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1B32FF9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3C595859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6C9EB4C" w14:textId="50719B9E" w:rsidTr="007457CE">
        <w:tc>
          <w:tcPr>
            <w:tcW w:w="7371" w:type="dxa"/>
          </w:tcPr>
          <w:p w14:paraId="0A1FF36A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Písemné postupy jsou vždy (podle zaměstnanců/operátorů) bezpečné.</w:t>
            </w:r>
          </w:p>
        </w:tc>
        <w:tc>
          <w:tcPr>
            <w:tcW w:w="993" w:type="dxa"/>
          </w:tcPr>
          <w:p w14:paraId="4D5255E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366ACB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316BCB4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45061BDA" w14:textId="1B695531" w:rsidTr="007457CE">
        <w:tc>
          <w:tcPr>
            <w:tcW w:w="7371" w:type="dxa"/>
          </w:tcPr>
          <w:p w14:paraId="0B548885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mají možnost podat podnět ke změně písemného postupu.</w:t>
            </w:r>
          </w:p>
        </w:tc>
        <w:tc>
          <w:tcPr>
            <w:tcW w:w="993" w:type="dxa"/>
          </w:tcPr>
          <w:p w14:paraId="3508F6C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33910A1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32F5EDA0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128BCBEA" w14:textId="4374F4A3" w:rsidTr="007457CE">
        <w:tc>
          <w:tcPr>
            <w:tcW w:w="7371" w:type="dxa"/>
          </w:tcPr>
          <w:p w14:paraId="16674341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Pravidla pro vstup do objektu jsou důsledně uplatňována.</w:t>
            </w:r>
          </w:p>
        </w:tc>
        <w:tc>
          <w:tcPr>
            <w:tcW w:w="993" w:type="dxa"/>
          </w:tcPr>
          <w:p w14:paraId="45F74D1F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F1742FB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78D9EA4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4C7DBA5B" w14:textId="35A0A0D9" w:rsidTr="007457CE">
        <w:tc>
          <w:tcPr>
            <w:tcW w:w="7371" w:type="dxa"/>
          </w:tcPr>
          <w:p w14:paraId="181A856F" w14:textId="77777777" w:rsidR="007457CE" w:rsidRPr="00856448" w:rsidRDefault="007457CE" w:rsidP="00383D4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Nedodržování předpisů není tolerováno.</w:t>
            </w:r>
          </w:p>
        </w:tc>
        <w:tc>
          <w:tcPr>
            <w:tcW w:w="993" w:type="dxa"/>
          </w:tcPr>
          <w:p w14:paraId="0CE5E19F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EBF5A4A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6E476D96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A5ED24C" w14:textId="605B6678" w:rsidTr="007457CE">
        <w:tc>
          <w:tcPr>
            <w:tcW w:w="7371" w:type="dxa"/>
          </w:tcPr>
          <w:p w14:paraId="0E631665" w14:textId="77777777" w:rsidR="007457CE" w:rsidRPr="00856448" w:rsidRDefault="007457CE" w:rsidP="007457C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lastRenderedPageBreak/>
              <w:t>Při rozhodování dávají zaměstnanci přednost rozumným konzervativním variantám před snadným řešením.</w:t>
            </w:r>
          </w:p>
        </w:tc>
        <w:tc>
          <w:tcPr>
            <w:tcW w:w="993" w:type="dxa"/>
          </w:tcPr>
          <w:p w14:paraId="1BD8DBB0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BACC649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D76F0C5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5B218A5E" w14:textId="0EBB28DD" w:rsidTr="007457CE">
        <w:tc>
          <w:tcPr>
            <w:tcW w:w="7371" w:type="dxa"/>
          </w:tcPr>
          <w:p w14:paraId="72B66A86" w14:textId="77777777" w:rsidR="007457CE" w:rsidRPr="00856448" w:rsidRDefault="007457CE" w:rsidP="007457C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Zaměstnancům je zřejmé, že jsou v případě nebezpečné situace oprávněni přerušit činnost a že za to nebudou potrestáni.</w:t>
            </w:r>
          </w:p>
        </w:tc>
        <w:tc>
          <w:tcPr>
            <w:tcW w:w="993" w:type="dxa"/>
          </w:tcPr>
          <w:p w14:paraId="20F4251C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E5A9847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3D1B6500" w14:textId="77777777" w:rsidR="007457CE" w:rsidRPr="00D64BD1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3C47CA94" w14:textId="744652D2" w:rsidTr="007457CE">
        <w:trPr>
          <w:trHeight w:val="42"/>
        </w:trPr>
        <w:tc>
          <w:tcPr>
            <w:tcW w:w="7371" w:type="dxa"/>
          </w:tcPr>
          <w:p w14:paraId="30C6235F" w14:textId="77777777" w:rsidR="007457CE" w:rsidRPr="00856448" w:rsidRDefault="007457CE" w:rsidP="007457C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Nebezpečné chování není tolerováno.</w:t>
            </w:r>
          </w:p>
        </w:tc>
        <w:tc>
          <w:tcPr>
            <w:tcW w:w="993" w:type="dxa"/>
          </w:tcPr>
          <w:p w14:paraId="48D9E1CD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DE438C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48E43D3F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34C8EC96" w14:textId="53D773C2" w:rsidTr="007457CE">
        <w:tc>
          <w:tcPr>
            <w:tcW w:w="7371" w:type="dxa"/>
          </w:tcPr>
          <w:p w14:paraId="29336C27" w14:textId="77777777" w:rsidR="007457CE" w:rsidRPr="00856448" w:rsidRDefault="007457CE" w:rsidP="007457C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se vzájemně kontrolují a upozorňují na nebezpečné chování.</w:t>
            </w:r>
          </w:p>
        </w:tc>
        <w:tc>
          <w:tcPr>
            <w:tcW w:w="993" w:type="dxa"/>
          </w:tcPr>
          <w:p w14:paraId="610D863C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21AB3B3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0B80B5F1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D930A86" w14:textId="0F0F448E" w:rsidTr="007457CE">
        <w:tc>
          <w:tcPr>
            <w:tcW w:w="7371" w:type="dxa"/>
          </w:tcPr>
          <w:p w14:paraId="1B28F6DC" w14:textId="77777777" w:rsidR="007457CE" w:rsidRPr="00856448" w:rsidRDefault="007457CE" w:rsidP="007457C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si navzájem důvěřují.</w:t>
            </w:r>
          </w:p>
        </w:tc>
        <w:tc>
          <w:tcPr>
            <w:tcW w:w="993" w:type="dxa"/>
          </w:tcPr>
          <w:p w14:paraId="7ABE92B2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C87763C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57C5ABC4" w14:textId="77777777" w:rsidR="007457CE" w:rsidRPr="00D64BD1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D077DC9" w14:textId="77777777" w:rsidR="00856448" w:rsidRPr="00856448" w:rsidRDefault="00856448" w:rsidP="00856448">
      <w:pPr>
        <w:rPr>
          <w:rFonts w:cstheme="minorHAnsi"/>
          <w:b/>
          <w:bCs/>
        </w:rPr>
      </w:pPr>
      <w:r w:rsidRPr="00856448">
        <w:rPr>
          <w:rFonts w:cstheme="minorHAnsi"/>
          <w:b/>
          <w:bCs/>
        </w:rPr>
        <w:br w:type="page"/>
      </w:r>
    </w:p>
    <w:p w14:paraId="03717053" w14:textId="77777777" w:rsidR="00856448" w:rsidRPr="00856448" w:rsidRDefault="00856448" w:rsidP="00856448">
      <w:pPr>
        <w:pStyle w:val="Normal1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448">
        <w:rPr>
          <w:rFonts w:asciiTheme="minorHAnsi" w:hAnsiTheme="minorHAnsi" w:cstheme="minorHAnsi"/>
          <w:b/>
          <w:bCs/>
          <w:sz w:val="22"/>
          <w:szCs w:val="22"/>
        </w:rPr>
        <w:lastRenderedPageBreak/>
        <w:t>Poučení ze zkušeností</w:t>
      </w:r>
    </w:p>
    <w:p w14:paraId="31EECDA3" w14:textId="5875828C" w:rsidR="00856448" w:rsidRPr="00856448" w:rsidRDefault="00856448" w:rsidP="00856448">
      <w:pPr>
        <w:autoSpaceDE w:val="0"/>
        <w:autoSpaceDN w:val="0"/>
        <w:adjustRightInd w:val="0"/>
        <w:spacing w:line="240" w:lineRule="auto"/>
        <w:rPr>
          <w:rFonts w:cstheme="minorHAnsi"/>
          <w:i/>
        </w:rPr>
      </w:pPr>
      <w:r w:rsidRPr="00856448">
        <w:rPr>
          <w:rFonts w:cstheme="minorHAnsi"/>
          <w:i/>
        </w:rPr>
        <w:t>Rychlé a důkladné vyšetření nehod, hledání použitelných zkušeností mimo organizaci</w:t>
      </w:r>
      <w:r w:rsidR="00A61A67">
        <w:rPr>
          <w:rFonts w:cstheme="minorHAnsi"/>
          <w:i/>
        </w:rPr>
        <w:t>, jejich</w:t>
      </w:r>
      <w:r w:rsidRPr="00856448">
        <w:rPr>
          <w:rFonts w:cstheme="minorHAnsi"/>
          <w:i/>
        </w:rPr>
        <w:t xml:space="preserve"> sdílení a případné uplatňování získaných zkušeností v rámci celé organizace jsou prostředky k neustálému zlepšování výkonnosti v oblasti bezpečnosti. Výsledkem získaného poučení z nehod by měly být účinné nápravné akce. Vyšetřování by mělo být činností zaměřenou na vyhledávání faktů pro poučení ze zkušenosti, nikoli akce určená k přiřknutí viny nebo odpovědnosti. Pokud se uplatnila „lidská chyba“, je třeba, aby vyšetřující osoby přesně zjistily, které okolnosti k případné lidské chybě přispěly. Takovými okolnostmi mohla být např. únava, stres, přepracování nebo nedostatečné proškolení. </w:t>
      </w:r>
    </w:p>
    <w:tbl>
      <w:tblPr>
        <w:tblStyle w:val="Mkatabulky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993"/>
        <w:gridCol w:w="993"/>
        <w:gridCol w:w="4677"/>
      </w:tblGrid>
      <w:tr w:rsidR="007457CE" w:rsidRPr="00856448" w14:paraId="70B47C07" w14:textId="46BC15A4" w:rsidTr="007457CE">
        <w:tc>
          <w:tcPr>
            <w:tcW w:w="7371" w:type="dxa"/>
          </w:tcPr>
          <w:p w14:paraId="3153A382" w14:textId="77777777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  <w:b/>
                <w:bCs/>
              </w:rPr>
            </w:pPr>
            <w:r w:rsidRPr="00856448">
              <w:rPr>
                <w:rFonts w:asciiTheme="minorHAnsi" w:hAnsiTheme="minorHAnsi" w:cstheme="minorHAnsi"/>
              </w:rPr>
              <w:t xml:space="preserve">Aspekt kultury bezpečnosti – </w:t>
            </w:r>
            <w:r w:rsidRPr="00856448">
              <w:rPr>
                <w:rFonts w:asciiTheme="minorHAnsi" w:hAnsiTheme="minorHAnsi" w:cstheme="minorHAnsi"/>
                <w:b/>
                <w:bCs/>
              </w:rPr>
              <w:t>poučení ze zkušeností</w:t>
            </w:r>
          </w:p>
        </w:tc>
        <w:tc>
          <w:tcPr>
            <w:tcW w:w="993" w:type="dxa"/>
          </w:tcPr>
          <w:p w14:paraId="5A543701" w14:textId="1A46526A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93" w:type="dxa"/>
          </w:tcPr>
          <w:p w14:paraId="126DF0DA" w14:textId="16D4715F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4677" w:type="dxa"/>
          </w:tcPr>
          <w:p w14:paraId="38971A7B" w14:textId="6F0DFA36" w:rsidR="007457CE" w:rsidRPr="00856448" w:rsidRDefault="007457CE" w:rsidP="007457CE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7457CE" w:rsidRPr="00856448" w14:paraId="45D18E9F" w14:textId="6D938C55" w:rsidTr="007457CE">
        <w:tc>
          <w:tcPr>
            <w:tcW w:w="7371" w:type="dxa"/>
          </w:tcPr>
          <w:p w14:paraId="57071586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Organizace se učí z proběhlých nehod.</w:t>
            </w:r>
          </w:p>
        </w:tc>
        <w:tc>
          <w:tcPr>
            <w:tcW w:w="993" w:type="dxa"/>
          </w:tcPr>
          <w:p w14:paraId="5C150F4D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075E9FA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507B9389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6041769C" w14:textId="1AB5DBE6" w:rsidTr="007457CE">
        <w:tc>
          <w:tcPr>
            <w:tcW w:w="7371" w:type="dxa"/>
          </w:tcPr>
          <w:p w14:paraId="1359348B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mají pocit jistoty při hlášení nehod nebo nebezpečných podmínek.</w:t>
            </w:r>
          </w:p>
        </w:tc>
        <w:tc>
          <w:tcPr>
            <w:tcW w:w="993" w:type="dxa"/>
          </w:tcPr>
          <w:p w14:paraId="262DBF90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7F676BC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4DC1CABD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4CBEE4DA" w14:textId="485DFAF9" w:rsidTr="007457CE">
        <w:tc>
          <w:tcPr>
            <w:tcW w:w="7371" w:type="dxa"/>
          </w:tcPr>
          <w:p w14:paraId="4A702EC4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 xml:space="preserve">Zaměstnanci hlásí nehody nebo nebezpečné podmínky. </w:t>
            </w:r>
          </w:p>
        </w:tc>
        <w:tc>
          <w:tcPr>
            <w:tcW w:w="993" w:type="dxa"/>
          </w:tcPr>
          <w:p w14:paraId="018A847B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53C65BE1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58720297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9061A62" w14:textId="3530DA1E" w:rsidTr="007457CE">
        <w:tc>
          <w:tcPr>
            <w:tcW w:w="7371" w:type="dxa"/>
          </w:tcPr>
          <w:p w14:paraId="525E5C41" w14:textId="78E590ED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dostávají zpětnou vazbu v návaznosti na sv</w:t>
            </w:r>
            <w:r>
              <w:rPr>
                <w:rFonts w:cstheme="minorHAnsi"/>
              </w:rPr>
              <w:t>é</w:t>
            </w:r>
            <w:r w:rsidRPr="00856448">
              <w:rPr>
                <w:rFonts w:cstheme="minorHAnsi"/>
              </w:rPr>
              <w:t xml:space="preserve"> hlášení.</w:t>
            </w:r>
          </w:p>
        </w:tc>
        <w:tc>
          <w:tcPr>
            <w:tcW w:w="993" w:type="dxa"/>
          </w:tcPr>
          <w:p w14:paraId="579797BD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234C6494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2E2C87BE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3D07980" w14:textId="3B4A1142" w:rsidTr="007457CE">
        <w:tc>
          <w:tcPr>
            <w:tcW w:w="7371" w:type="dxa"/>
          </w:tcPr>
          <w:p w14:paraId="4A2EE33D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 xml:space="preserve">Relevantní doporučení a opatření z vyšetřování nehod, včetně </w:t>
            </w:r>
            <w:proofErr w:type="spellStart"/>
            <w:r w:rsidRPr="00856448">
              <w:rPr>
                <w:rFonts w:cstheme="minorHAnsi"/>
              </w:rPr>
              <w:t>skoronehod</w:t>
            </w:r>
            <w:proofErr w:type="spellEnd"/>
            <w:r w:rsidRPr="00856448">
              <w:rPr>
                <w:rFonts w:cstheme="minorHAnsi"/>
              </w:rPr>
              <w:t>, z kontrol a auditů jsou implementována a komunikována.</w:t>
            </w:r>
          </w:p>
        </w:tc>
        <w:tc>
          <w:tcPr>
            <w:tcW w:w="993" w:type="dxa"/>
          </w:tcPr>
          <w:p w14:paraId="06E50813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6190777D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2384D730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5E623B50" w14:textId="5562048E" w:rsidTr="007457CE">
        <w:tc>
          <w:tcPr>
            <w:tcW w:w="7371" w:type="dxa"/>
          </w:tcPr>
          <w:p w14:paraId="6FD1CAE9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S výsledky vyšetřování nehod jsou zaměstnanci seznamováni.</w:t>
            </w:r>
          </w:p>
        </w:tc>
        <w:tc>
          <w:tcPr>
            <w:tcW w:w="993" w:type="dxa"/>
          </w:tcPr>
          <w:p w14:paraId="23B897D7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29067BDB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2C55AFA7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4A4C2DB5" w14:textId="57C2F5C5" w:rsidTr="007457CE">
        <w:tc>
          <w:tcPr>
            <w:tcW w:w="7371" w:type="dxa"/>
          </w:tcPr>
          <w:p w14:paraId="798A50D6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jsou ostražití vůči nestandardním nebo abnormálním stavům.</w:t>
            </w:r>
          </w:p>
        </w:tc>
        <w:tc>
          <w:tcPr>
            <w:tcW w:w="993" w:type="dxa"/>
          </w:tcPr>
          <w:p w14:paraId="35DC2734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0460FEF8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6D5B7AB4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0F67CEB8" w14:textId="37A434AD" w:rsidTr="007457CE">
        <w:tc>
          <w:tcPr>
            <w:tcW w:w="7371" w:type="dxa"/>
          </w:tcPr>
          <w:p w14:paraId="67825E48" w14:textId="3D70BD8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přeruší/zastaví svou činnost, pokud se setkají s neznámou překážkou či podmínkou (pokud to přímo neohrozí bezpečnost jejich a</w:t>
            </w:r>
            <w:r w:rsidR="00383D43">
              <w:rPr>
                <w:rFonts w:cstheme="minorHAnsi"/>
              </w:rPr>
              <w:t> </w:t>
            </w:r>
            <w:r w:rsidRPr="00856448">
              <w:rPr>
                <w:rFonts w:cstheme="minorHAnsi"/>
              </w:rPr>
              <w:t>dotčeného systému) a před identifikací, zhodnocením a řízením souvisejících rizik dále nepokračují.</w:t>
            </w:r>
          </w:p>
        </w:tc>
        <w:tc>
          <w:tcPr>
            <w:tcW w:w="993" w:type="dxa"/>
          </w:tcPr>
          <w:p w14:paraId="74FF9AFD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3269AE28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31859003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62087833" w14:textId="141388EE" w:rsidTr="007457CE">
        <w:tc>
          <w:tcPr>
            <w:tcW w:w="7371" w:type="dxa"/>
          </w:tcPr>
          <w:p w14:paraId="1C72252A" w14:textId="5960EDFB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Organizace systematicky, efektivně a včas shromažďuje, vyhodnocuje a</w:t>
            </w:r>
            <w:r w:rsidR="00383D43">
              <w:rPr>
                <w:rFonts w:cstheme="minorHAnsi"/>
              </w:rPr>
              <w:t> </w:t>
            </w:r>
            <w:r w:rsidRPr="00856448">
              <w:rPr>
                <w:rFonts w:cstheme="minorHAnsi"/>
              </w:rPr>
              <w:t>učí se z relevantních interních i externích provozních zkušeností.</w:t>
            </w:r>
          </w:p>
        </w:tc>
        <w:tc>
          <w:tcPr>
            <w:tcW w:w="993" w:type="dxa"/>
          </w:tcPr>
          <w:p w14:paraId="72A08CD0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A5D6173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4C78D8E5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3F4AD121" w14:textId="5667DC96" w:rsidTr="007457CE">
        <w:tc>
          <w:tcPr>
            <w:tcW w:w="7371" w:type="dxa"/>
          </w:tcPr>
          <w:p w14:paraId="79F8225A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</w:rPr>
            </w:pPr>
            <w:r w:rsidRPr="00856448">
              <w:rPr>
                <w:rFonts w:cstheme="minorHAnsi"/>
              </w:rPr>
              <w:t>Vedení si je vědomo proběhlých nehod souvisejících s bezpečností.</w:t>
            </w:r>
          </w:p>
        </w:tc>
        <w:tc>
          <w:tcPr>
            <w:tcW w:w="993" w:type="dxa"/>
          </w:tcPr>
          <w:p w14:paraId="0DC6A9DB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21AE1F45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69864FFD" w14:textId="77777777" w:rsidR="007457CE" w:rsidRPr="007457CE" w:rsidRDefault="007457CE" w:rsidP="007457C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57CE" w:rsidRPr="00856448" w14:paraId="70B0FB9E" w14:textId="7B6B5FA3" w:rsidTr="007457CE">
        <w:tc>
          <w:tcPr>
            <w:tcW w:w="7371" w:type="dxa"/>
          </w:tcPr>
          <w:p w14:paraId="3445B156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Je zavedeno porovnávání s ostatními organizacemi s cílem určit oblasti, kde je možné další zlepšení.</w:t>
            </w:r>
          </w:p>
        </w:tc>
        <w:tc>
          <w:tcPr>
            <w:tcW w:w="993" w:type="dxa"/>
          </w:tcPr>
          <w:p w14:paraId="4C5965F6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61DD5188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6140DB49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50DC238A" w14:textId="70AC9666" w:rsidTr="007457CE">
        <w:tc>
          <w:tcPr>
            <w:tcW w:w="7371" w:type="dxa"/>
          </w:tcPr>
          <w:p w14:paraId="50B1D243" w14:textId="1127AEA3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 xml:space="preserve">Hlášení nehod, včetně </w:t>
            </w:r>
            <w:proofErr w:type="spellStart"/>
            <w:r w:rsidRPr="00856448">
              <w:rPr>
                <w:rFonts w:cstheme="minorHAnsi"/>
              </w:rPr>
              <w:t>skoronehod</w:t>
            </w:r>
            <w:proofErr w:type="spellEnd"/>
            <w:r>
              <w:rPr>
                <w:rFonts w:cstheme="minorHAnsi"/>
              </w:rPr>
              <w:t>,</w:t>
            </w:r>
            <w:r w:rsidRPr="00856448">
              <w:rPr>
                <w:rFonts w:cstheme="minorHAnsi"/>
              </w:rPr>
              <w:t xml:space="preserve"> je považováno za příležitost k poučení se.</w:t>
            </w:r>
          </w:p>
        </w:tc>
        <w:tc>
          <w:tcPr>
            <w:tcW w:w="993" w:type="dxa"/>
          </w:tcPr>
          <w:p w14:paraId="40FB7724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341D03AB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2812B533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10100885" w14:textId="5F5202F4" w:rsidTr="007457CE">
        <w:tc>
          <w:tcPr>
            <w:tcW w:w="7371" w:type="dxa"/>
          </w:tcPr>
          <w:p w14:paraId="284C3EC0" w14:textId="0C9B1FC4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Pokud dojde k neúmyslně způsobené nehodě, není nikdo potrestán a</w:t>
            </w:r>
            <w:r w:rsidR="00383D43">
              <w:rPr>
                <w:rFonts w:cstheme="minorHAnsi"/>
              </w:rPr>
              <w:t> </w:t>
            </w:r>
            <w:r w:rsidRPr="00856448">
              <w:rPr>
                <w:rFonts w:cstheme="minorHAnsi"/>
              </w:rPr>
              <w:t>postižení mají podporu organizace.</w:t>
            </w:r>
          </w:p>
        </w:tc>
        <w:tc>
          <w:tcPr>
            <w:tcW w:w="993" w:type="dxa"/>
          </w:tcPr>
          <w:p w14:paraId="7E007AE7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879BEC8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684829CC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3A330DDB" w14:textId="7BA14865" w:rsidTr="007457CE">
        <w:tc>
          <w:tcPr>
            <w:tcW w:w="7371" w:type="dxa"/>
          </w:tcPr>
          <w:p w14:paraId="522395B4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V organizaci je snaha každou nehodu důkladně vyšetřit.</w:t>
            </w:r>
          </w:p>
        </w:tc>
        <w:tc>
          <w:tcPr>
            <w:tcW w:w="993" w:type="dxa"/>
          </w:tcPr>
          <w:p w14:paraId="2D94A025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364DDDF7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75634F50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573C54CE" w14:textId="4985C9C3" w:rsidTr="007457CE">
        <w:tc>
          <w:tcPr>
            <w:tcW w:w="7371" w:type="dxa"/>
          </w:tcPr>
          <w:p w14:paraId="53A760E0" w14:textId="0EB9E4B8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lastRenderedPageBreak/>
              <w:t>Hlášení bezpečnostních událostí (</w:t>
            </w:r>
            <w:proofErr w:type="spellStart"/>
            <w:r w:rsidRPr="00856448">
              <w:rPr>
                <w:rFonts w:cstheme="minorHAnsi"/>
              </w:rPr>
              <w:t>skoronehody</w:t>
            </w:r>
            <w:proofErr w:type="spellEnd"/>
            <w:r w:rsidRPr="00856448">
              <w:rPr>
                <w:rFonts w:cstheme="minorHAnsi"/>
              </w:rPr>
              <w:t>, nebezpečné podmínky…) pomáhá zlepšovat bezpečnost.</w:t>
            </w:r>
          </w:p>
        </w:tc>
        <w:tc>
          <w:tcPr>
            <w:tcW w:w="993" w:type="dxa"/>
          </w:tcPr>
          <w:p w14:paraId="1A2E9F8C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4FC7216D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2C9A2398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2BF12810" w14:textId="507F723D" w:rsidTr="007457CE">
        <w:tc>
          <w:tcPr>
            <w:tcW w:w="7371" w:type="dxa"/>
          </w:tcPr>
          <w:p w14:paraId="408E3E19" w14:textId="77777777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 xml:space="preserve">Zaměstnanci mají přístup ke zprávám z hlášení bezpečnostních událostí (vhodně anonymizovaným). </w:t>
            </w:r>
          </w:p>
        </w:tc>
        <w:tc>
          <w:tcPr>
            <w:tcW w:w="993" w:type="dxa"/>
          </w:tcPr>
          <w:p w14:paraId="577F6808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552F77D5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444E696C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159C86D6" w14:textId="639F3773" w:rsidTr="007457CE">
        <w:tc>
          <w:tcPr>
            <w:tcW w:w="7371" w:type="dxa"/>
          </w:tcPr>
          <w:p w14:paraId="5D9AC5A1" w14:textId="517D3B45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mají čas se seznámit se zprávami z hlášení bezpečnostních událostí i</w:t>
            </w:r>
            <w:r>
              <w:rPr>
                <w:rFonts w:cstheme="minorHAnsi"/>
              </w:rPr>
              <w:t> </w:t>
            </w:r>
            <w:r w:rsidRPr="00856448">
              <w:rPr>
                <w:rFonts w:cstheme="minorHAnsi"/>
              </w:rPr>
              <w:t>s výsledky vyšetřování nehod.</w:t>
            </w:r>
          </w:p>
        </w:tc>
        <w:tc>
          <w:tcPr>
            <w:tcW w:w="993" w:type="dxa"/>
          </w:tcPr>
          <w:p w14:paraId="5B0A6102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EC91511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6E1F32B5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856448" w14:paraId="1FC62464" w14:textId="38A36AD1" w:rsidTr="007457CE">
        <w:tc>
          <w:tcPr>
            <w:tcW w:w="7371" w:type="dxa"/>
          </w:tcPr>
          <w:p w14:paraId="30ED6EF3" w14:textId="5DBF7DF1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Bezpečnostní události (</w:t>
            </w:r>
            <w:proofErr w:type="spellStart"/>
            <w:r w:rsidRPr="00856448">
              <w:rPr>
                <w:rFonts w:cstheme="minorHAnsi"/>
              </w:rPr>
              <w:t>skoronehody</w:t>
            </w:r>
            <w:proofErr w:type="spellEnd"/>
            <w:r w:rsidRPr="00856448">
              <w:rPr>
                <w:rFonts w:cstheme="minorHAnsi"/>
              </w:rPr>
              <w:t>, nebezpečné podmínky…) jsou pravidelně a často diskutovány.</w:t>
            </w:r>
          </w:p>
        </w:tc>
        <w:tc>
          <w:tcPr>
            <w:tcW w:w="993" w:type="dxa"/>
          </w:tcPr>
          <w:p w14:paraId="431D7BEC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7AC042B2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7045A479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  <w:tr w:rsidR="007457CE" w:rsidRPr="00927915" w14:paraId="27FE6023" w14:textId="46E5A707" w:rsidTr="007457CE">
        <w:tc>
          <w:tcPr>
            <w:tcW w:w="7371" w:type="dxa"/>
          </w:tcPr>
          <w:p w14:paraId="0F6EC814" w14:textId="7EC16788" w:rsidR="007457CE" w:rsidRPr="00856448" w:rsidRDefault="007457CE" w:rsidP="007457C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jc w:val="left"/>
              <w:rPr>
                <w:rFonts w:cstheme="minorHAnsi"/>
              </w:rPr>
            </w:pPr>
            <w:r w:rsidRPr="00856448">
              <w:rPr>
                <w:rFonts w:cstheme="minorHAnsi"/>
              </w:rPr>
              <w:t>Zaměstnanci sdíl</w:t>
            </w:r>
            <w:r>
              <w:rPr>
                <w:rFonts w:cstheme="minorHAnsi"/>
              </w:rPr>
              <w:t>ej</w:t>
            </w:r>
            <w:r w:rsidRPr="00856448">
              <w:rPr>
                <w:rFonts w:cstheme="minorHAnsi"/>
              </w:rPr>
              <w:t>í své zkušenosti.</w:t>
            </w:r>
          </w:p>
        </w:tc>
        <w:tc>
          <w:tcPr>
            <w:tcW w:w="993" w:type="dxa"/>
          </w:tcPr>
          <w:p w14:paraId="7F30B145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13DFCCC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677" w:type="dxa"/>
          </w:tcPr>
          <w:p w14:paraId="734589E3" w14:textId="77777777" w:rsidR="007457CE" w:rsidRPr="007457CE" w:rsidRDefault="007457CE" w:rsidP="007457CE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</w:tbl>
    <w:p w14:paraId="39DD7A10" w14:textId="6B909695" w:rsidR="00856448" w:rsidRDefault="00856448" w:rsidP="00856448">
      <w:pPr>
        <w:pStyle w:val="Nadpis2"/>
      </w:pPr>
    </w:p>
    <w:sectPr w:rsidR="00856448" w:rsidSect="008C41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D59" w14:textId="77777777" w:rsidR="003A7185" w:rsidRDefault="003A7185" w:rsidP="00AF137E">
      <w:pPr>
        <w:spacing w:after="0" w:line="240" w:lineRule="auto"/>
      </w:pPr>
      <w:r>
        <w:separator/>
      </w:r>
    </w:p>
  </w:endnote>
  <w:endnote w:type="continuationSeparator" w:id="0">
    <w:p w14:paraId="3DEAAB00" w14:textId="77777777" w:rsidR="003A7185" w:rsidRDefault="003A7185" w:rsidP="00AF137E">
      <w:pPr>
        <w:spacing w:after="0" w:line="240" w:lineRule="auto"/>
      </w:pPr>
      <w:r>
        <w:continuationSeparator/>
      </w:r>
    </w:p>
  </w:endnote>
  <w:endnote w:type="continuationNotice" w:id="1">
    <w:p w14:paraId="4AB53475" w14:textId="77777777" w:rsidR="003A7185" w:rsidRDefault="003A7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D819" w14:textId="77777777" w:rsidR="003A7185" w:rsidRDefault="003A7185" w:rsidP="00AF137E">
      <w:pPr>
        <w:spacing w:after="0" w:line="240" w:lineRule="auto"/>
      </w:pPr>
      <w:r>
        <w:separator/>
      </w:r>
    </w:p>
  </w:footnote>
  <w:footnote w:type="continuationSeparator" w:id="0">
    <w:p w14:paraId="1D8F9E0B" w14:textId="77777777" w:rsidR="003A7185" w:rsidRDefault="003A7185" w:rsidP="00AF137E">
      <w:pPr>
        <w:spacing w:after="0" w:line="240" w:lineRule="auto"/>
      </w:pPr>
      <w:r>
        <w:continuationSeparator/>
      </w:r>
    </w:p>
  </w:footnote>
  <w:footnote w:type="continuationNotice" w:id="1">
    <w:p w14:paraId="3186C486" w14:textId="77777777" w:rsidR="003A7185" w:rsidRDefault="003A7185">
      <w:pPr>
        <w:spacing w:after="0" w:line="240" w:lineRule="auto"/>
      </w:pPr>
    </w:p>
  </w:footnote>
  <w:footnote w:id="2">
    <w:p w14:paraId="2CBFE906" w14:textId="77777777" w:rsidR="00303FC4" w:rsidRPr="00303FC4" w:rsidRDefault="00AF137E" w:rsidP="00E91BBD">
      <w:pPr>
        <w:pStyle w:val="Textpoznpodarou"/>
        <w:jc w:val="left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303FC4" w:rsidRPr="00303FC4">
        <w:rPr>
          <w:sz w:val="18"/>
          <w:szCs w:val="18"/>
        </w:rPr>
        <w:t xml:space="preserve">HEALTH AND SAFETY EXECUTIVE (HSE). </w:t>
      </w:r>
      <w:r w:rsidR="00303FC4" w:rsidRPr="00303FC4">
        <w:rPr>
          <w:i/>
          <w:iCs/>
          <w:sz w:val="18"/>
          <w:szCs w:val="18"/>
        </w:rPr>
        <w:t xml:space="preserve">Inspectors toolkit: human factors in the management of major accident hazards </w:t>
      </w:r>
      <w:r w:rsidR="00303FC4" w:rsidRPr="00303FC4">
        <w:rPr>
          <w:sz w:val="18"/>
          <w:szCs w:val="18"/>
        </w:rPr>
        <w:t xml:space="preserve">[online]. </w:t>
      </w:r>
      <w:r w:rsidR="00303FC4" w:rsidRPr="00303FC4">
        <w:rPr>
          <w:iCs/>
          <w:sz w:val="18"/>
          <w:szCs w:val="18"/>
        </w:rPr>
        <w:t xml:space="preserve">Sudbury: HSE, </w:t>
      </w:r>
      <w:r w:rsidR="00303FC4" w:rsidRPr="00303FC4">
        <w:rPr>
          <w:sz w:val="18"/>
          <w:szCs w:val="18"/>
        </w:rPr>
        <w:t xml:space="preserve">2005 [cit. 2024-09-27]. Dostupný z: </w:t>
      </w:r>
      <w:hyperlink r:id="rId1" w:history="1">
        <w:r w:rsidR="00303FC4" w:rsidRPr="00303FC4">
          <w:rPr>
            <w:rStyle w:val="Hypertextovodkaz"/>
            <w:sz w:val="18"/>
            <w:szCs w:val="18"/>
          </w:rPr>
          <w:t>https://www.hse.gov.uk/humanfactors/assets/docs/toolkit.pdf</w:t>
        </w:r>
      </w:hyperlink>
      <w:r w:rsidR="00303FC4" w:rsidRPr="00303FC4">
        <w:rPr>
          <w:sz w:val="18"/>
          <w:szCs w:val="18"/>
        </w:rPr>
        <w:t>.</w:t>
      </w:r>
    </w:p>
    <w:p w14:paraId="005FD968" w14:textId="595B682A" w:rsidR="00AF137E" w:rsidRDefault="00AF137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87B"/>
    <w:multiLevelType w:val="hybridMultilevel"/>
    <w:tmpl w:val="1196E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70D9"/>
    <w:multiLevelType w:val="hybridMultilevel"/>
    <w:tmpl w:val="0E6821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F4B48"/>
    <w:multiLevelType w:val="hybridMultilevel"/>
    <w:tmpl w:val="7A7C7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401E8B"/>
    <w:multiLevelType w:val="hybridMultilevel"/>
    <w:tmpl w:val="CB7CD9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24CDB"/>
    <w:multiLevelType w:val="hybridMultilevel"/>
    <w:tmpl w:val="707EE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493D"/>
    <w:multiLevelType w:val="hybridMultilevel"/>
    <w:tmpl w:val="BACA81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C25C67"/>
    <w:multiLevelType w:val="hybridMultilevel"/>
    <w:tmpl w:val="352A0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D6A61"/>
    <w:multiLevelType w:val="hybridMultilevel"/>
    <w:tmpl w:val="CE6A4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2F45D4"/>
    <w:multiLevelType w:val="hybridMultilevel"/>
    <w:tmpl w:val="24E4CB70"/>
    <w:lvl w:ilvl="0" w:tplc="5B4E5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5ED"/>
    <w:multiLevelType w:val="hybridMultilevel"/>
    <w:tmpl w:val="414A2E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325799">
    <w:abstractNumId w:val="8"/>
  </w:num>
  <w:num w:numId="2" w16cid:durableId="1686908084">
    <w:abstractNumId w:val="4"/>
  </w:num>
  <w:num w:numId="3" w16cid:durableId="1805462608">
    <w:abstractNumId w:val="2"/>
  </w:num>
  <w:num w:numId="4" w16cid:durableId="1190559199">
    <w:abstractNumId w:val="3"/>
  </w:num>
  <w:num w:numId="5" w16cid:durableId="922689787">
    <w:abstractNumId w:val="1"/>
  </w:num>
  <w:num w:numId="6" w16cid:durableId="1892040330">
    <w:abstractNumId w:val="5"/>
  </w:num>
  <w:num w:numId="7" w16cid:durableId="98069305">
    <w:abstractNumId w:val="7"/>
  </w:num>
  <w:num w:numId="8" w16cid:durableId="859583749">
    <w:abstractNumId w:val="9"/>
  </w:num>
  <w:num w:numId="9" w16cid:durableId="1158573482">
    <w:abstractNumId w:val="6"/>
  </w:num>
  <w:num w:numId="10" w16cid:durableId="88934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48"/>
    <w:rsid w:val="00002124"/>
    <w:rsid w:val="00045BFC"/>
    <w:rsid w:val="00081893"/>
    <w:rsid w:val="000C410B"/>
    <w:rsid w:val="000E15C0"/>
    <w:rsid w:val="000E58F9"/>
    <w:rsid w:val="00126C3F"/>
    <w:rsid w:val="001E1879"/>
    <w:rsid w:val="0020201B"/>
    <w:rsid w:val="00227A8D"/>
    <w:rsid w:val="0024151B"/>
    <w:rsid w:val="00291276"/>
    <w:rsid w:val="002D53D6"/>
    <w:rsid w:val="00303FC4"/>
    <w:rsid w:val="00382658"/>
    <w:rsid w:val="00383D43"/>
    <w:rsid w:val="003A7185"/>
    <w:rsid w:val="004F5699"/>
    <w:rsid w:val="00556311"/>
    <w:rsid w:val="00566E3C"/>
    <w:rsid w:val="00590573"/>
    <w:rsid w:val="0062617F"/>
    <w:rsid w:val="00724635"/>
    <w:rsid w:val="007457CE"/>
    <w:rsid w:val="007470F9"/>
    <w:rsid w:val="00807B39"/>
    <w:rsid w:val="00810C4C"/>
    <w:rsid w:val="00856448"/>
    <w:rsid w:val="008C41E3"/>
    <w:rsid w:val="008E0554"/>
    <w:rsid w:val="00905215"/>
    <w:rsid w:val="00945E56"/>
    <w:rsid w:val="009A175C"/>
    <w:rsid w:val="009F6EF3"/>
    <w:rsid w:val="00A61A67"/>
    <w:rsid w:val="00A6678E"/>
    <w:rsid w:val="00AF137E"/>
    <w:rsid w:val="00B93C35"/>
    <w:rsid w:val="00CA24FC"/>
    <w:rsid w:val="00D443CF"/>
    <w:rsid w:val="00D64BD1"/>
    <w:rsid w:val="00D65135"/>
    <w:rsid w:val="00D668F1"/>
    <w:rsid w:val="00D77C90"/>
    <w:rsid w:val="00E52698"/>
    <w:rsid w:val="00E901EC"/>
    <w:rsid w:val="00E91BBD"/>
    <w:rsid w:val="00F14438"/>
    <w:rsid w:val="00F20544"/>
    <w:rsid w:val="00F50823"/>
    <w:rsid w:val="00F6080A"/>
    <w:rsid w:val="00F75752"/>
    <w:rsid w:val="00F94AF3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4FFD"/>
  <w15:chartTrackingRefBased/>
  <w15:docId w15:val="{9A91998D-B411-44E9-842D-01022F5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448"/>
    <w:pPr>
      <w:spacing w:after="120" w:line="259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5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5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4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4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4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4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4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4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4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4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4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4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44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564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Normal1">
    <w:name w:val="Normal+1"/>
    <w:basedOn w:val="Default"/>
    <w:next w:val="Default"/>
    <w:uiPriority w:val="99"/>
    <w:rsid w:val="00856448"/>
    <w:rPr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13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137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F137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03FC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FC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D6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5135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D6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51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gov.uk/humanfactors/assets/docs/toolkit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30b19-209f-4bd7-a3c5-fa3b24f4b9d5" xsi:nil="true"/>
    <lcf76f155ced4ddcb4097134ff3c332f xmlns="64b660fb-1933-48d9-8623-2d8cff15aa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272B97A54FE4AB160C2FE90F15734" ma:contentTypeVersion="15" ma:contentTypeDescription="Vytvoří nový dokument" ma:contentTypeScope="" ma:versionID="bf44a70b78c5ba2618cb80fdf94f7ef7">
  <xsd:schema xmlns:xsd="http://www.w3.org/2001/XMLSchema" xmlns:xs="http://www.w3.org/2001/XMLSchema" xmlns:p="http://schemas.microsoft.com/office/2006/metadata/properties" xmlns:ns2="64b660fb-1933-48d9-8623-2d8cff15aa45" xmlns:ns3="bb530b19-209f-4bd7-a3c5-fa3b24f4b9d5" targetNamespace="http://schemas.microsoft.com/office/2006/metadata/properties" ma:root="true" ma:fieldsID="82495d02fb8215db3b4eade75c20df46" ns2:_="" ns3:_="">
    <xsd:import namespace="64b660fb-1933-48d9-8623-2d8cff15aa45"/>
    <xsd:import namespace="bb530b19-209f-4bd7-a3c5-fa3b24f4b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60fb-1933-48d9-8623-2d8cff15a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6d5b17-362a-4806-a8d2-31fa892a0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0b19-209f-4bd7-a3c5-fa3b24f4b9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a739ef-20b8-4778-b661-20538e38b2e2}" ma:internalName="TaxCatchAll" ma:showField="CatchAllData" ma:web="bb530b19-209f-4bd7-a3c5-fa3b24f4b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68C2-4261-45EB-A976-3F763D711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154C5-6D0F-4582-99C6-44D39746582A}">
  <ds:schemaRefs>
    <ds:schemaRef ds:uri="http://schemas.microsoft.com/office/2006/metadata/properties"/>
    <ds:schemaRef ds:uri="http://schemas.microsoft.com/office/infopath/2007/PartnerControls"/>
    <ds:schemaRef ds:uri="bb530b19-209f-4bd7-a3c5-fa3b24f4b9d5"/>
    <ds:schemaRef ds:uri="64b660fb-1933-48d9-8623-2d8cff15aa45"/>
  </ds:schemaRefs>
</ds:datastoreItem>
</file>

<file path=customXml/itemProps3.xml><?xml version="1.0" encoding="utf-8"?>
<ds:datastoreItem xmlns:ds="http://schemas.openxmlformats.org/officeDocument/2006/customXml" ds:itemID="{F90EA8DE-7443-4CF0-8BBD-523BF0CCC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60fb-1933-48d9-8623-2d8cff15aa45"/>
    <ds:schemaRef ds:uri="bb530b19-209f-4bd7-a3c5-fa3b24f4b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CA7E7-69FB-4B82-868E-2D4B8404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2550</Words>
  <Characters>15048</Characters>
  <Application>Microsoft Office Word</Application>
  <DocSecurity>0</DocSecurity>
  <Lines>125</Lines>
  <Paragraphs>35</Paragraphs>
  <ScaleCrop>false</ScaleCrop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Vachudová Linda</dc:creator>
  <cp:keywords/>
  <dc:description/>
  <cp:lastModifiedBy>Mikošková Veronika</cp:lastModifiedBy>
  <cp:revision>3</cp:revision>
  <dcterms:created xsi:type="dcterms:W3CDTF">2025-03-20T07:08:00Z</dcterms:created>
  <dcterms:modified xsi:type="dcterms:W3CDTF">2025-03-20T07:10:00Z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0x010100EAF272B97A54FE4AB160C2FE90F15734</vt:lpwstr>
  </property>
  <property fmtid="{D5CDD505-2E9C-101B-9397-08002B2CF9AE}" pid="3" name="MediaServiceImageTags">
    <vt:lpwstr/>
  </property>
</Properties>
</file>