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D2" w:rsidRPr="00C6338F" w:rsidRDefault="00FE2B3D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6338F">
        <w:rPr>
          <w:rFonts w:ascii="Times New Roman" w:hAnsi="Times New Roman" w:cs="Times New Roman"/>
          <w:b/>
          <w:sz w:val="22"/>
          <w:szCs w:val="22"/>
          <w:u w:val="single"/>
        </w:rPr>
        <w:t>Česká inspekce životního prostředí</w:t>
      </w: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>ředitelství</w:t>
      </w: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oddělení ochrany vod</w:t>
      </w: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>Na Břehu 267</w:t>
      </w:r>
      <w:r w:rsidR="000D1C00" w:rsidRPr="00C6338F">
        <w:rPr>
          <w:rFonts w:ascii="Times New Roman" w:hAnsi="Times New Roman" w:cs="Times New Roman"/>
          <w:b/>
          <w:sz w:val="22"/>
          <w:szCs w:val="22"/>
        </w:rPr>
        <w:t>/1a</w:t>
      </w:r>
      <w:r w:rsidRPr="00C6338F">
        <w:rPr>
          <w:rFonts w:ascii="Times New Roman" w:hAnsi="Times New Roman" w:cs="Times New Roman"/>
          <w:b/>
          <w:sz w:val="22"/>
          <w:szCs w:val="22"/>
        </w:rPr>
        <w:t>, 190 00 Praha 9</w:t>
      </w: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E2B3D" w:rsidRPr="00C6338F" w:rsidRDefault="006E37B2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 xml:space="preserve">Příloha k ročnímu plánu kontrol na rok </w:t>
      </w:r>
      <w:r w:rsidR="0077439F" w:rsidRPr="00C6338F">
        <w:rPr>
          <w:rFonts w:ascii="Times New Roman" w:hAnsi="Times New Roman" w:cs="Times New Roman"/>
          <w:b/>
          <w:sz w:val="22"/>
          <w:szCs w:val="22"/>
        </w:rPr>
        <w:t>2023</w:t>
      </w:r>
    </w:p>
    <w:p w:rsidR="006E37B2" w:rsidRPr="00C6338F" w:rsidRDefault="006E37B2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>dle § 40 odst. 2 zákona č. 224/2015 Sb., o prevenci závažných havárií</w:t>
      </w:r>
    </w:p>
    <w:p w:rsidR="00FE2B3D" w:rsidRPr="00C6338F" w:rsidRDefault="006E37B2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 xml:space="preserve"> a dle vyhlášky č. 229/2015 Sb.</w:t>
      </w:r>
    </w:p>
    <w:p w:rsidR="006E37B2" w:rsidRPr="00C6338F" w:rsidRDefault="006E37B2" w:rsidP="00FE2B3D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C725A" w:rsidRPr="00C6338F" w:rsidRDefault="006C725A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C725A" w:rsidRPr="00C6338F" w:rsidRDefault="006C725A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C725A" w:rsidRPr="00C6338F" w:rsidRDefault="006C725A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E2B3D" w:rsidRPr="00C6338F" w:rsidRDefault="00FE2B3D" w:rsidP="00FE2B3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A97990" w:rsidRPr="00C6338F" w:rsidRDefault="00A97990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Zpracovala:</w:t>
      </w:r>
      <w:r w:rsidRPr="00C6338F">
        <w:rPr>
          <w:rFonts w:ascii="Times New Roman" w:hAnsi="Times New Roman" w:cs="Times New Roman"/>
          <w:sz w:val="22"/>
          <w:szCs w:val="22"/>
        </w:rPr>
        <w:tab/>
        <w:t>Ing. Zuzana Machátová</w:t>
      </w:r>
      <w:r w:rsidR="000D1C00" w:rsidRPr="00C6338F">
        <w:rPr>
          <w:rFonts w:ascii="Times New Roman" w:hAnsi="Times New Roman" w:cs="Times New Roman"/>
          <w:sz w:val="22"/>
          <w:szCs w:val="22"/>
        </w:rPr>
        <w:t>, MŽP</w:t>
      </w:r>
    </w:p>
    <w:p w:rsidR="00F75AC5" w:rsidRPr="00C6338F" w:rsidRDefault="00F75AC5" w:rsidP="00A97990">
      <w:pPr>
        <w:spacing w:after="0"/>
        <w:ind w:left="70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 xml:space="preserve">Martina Pazourová, OOV Ř ČIŽP </w:t>
      </w: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6C725A" w:rsidRPr="00C6338F" w:rsidRDefault="006C725A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6C725A" w:rsidRPr="00C6338F" w:rsidRDefault="006C725A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Schválil:</w:t>
      </w:r>
      <w:r w:rsidRPr="00C6338F">
        <w:rPr>
          <w:rFonts w:ascii="Times New Roman" w:hAnsi="Times New Roman" w:cs="Times New Roman"/>
          <w:sz w:val="22"/>
          <w:szCs w:val="22"/>
        </w:rPr>
        <w:tab/>
      </w:r>
      <w:r w:rsidR="0077439F" w:rsidRPr="00C6338F">
        <w:rPr>
          <w:rFonts w:ascii="Times New Roman" w:hAnsi="Times New Roman" w:cs="Times New Roman"/>
          <w:sz w:val="22"/>
          <w:szCs w:val="22"/>
        </w:rPr>
        <w:t>Mgr. Radek Tonner</w:t>
      </w: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ab/>
      </w:r>
      <w:r w:rsidRPr="00C6338F">
        <w:rPr>
          <w:rFonts w:ascii="Times New Roman" w:hAnsi="Times New Roman" w:cs="Times New Roman"/>
          <w:sz w:val="22"/>
          <w:szCs w:val="22"/>
        </w:rPr>
        <w:tab/>
      </w:r>
      <w:bookmarkStart w:id="0" w:name="_GoBack"/>
      <w:bookmarkEnd w:id="0"/>
      <w:r w:rsidR="005B4DA5" w:rsidRPr="00C6338F">
        <w:rPr>
          <w:rFonts w:ascii="Times New Roman" w:hAnsi="Times New Roman" w:cs="Times New Roman"/>
          <w:sz w:val="22"/>
          <w:szCs w:val="22"/>
        </w:rPr>
        <w:t>v</w:t>
      </w:r>
      <w:r w:rsidRPr="00C6338F">
        <w:rPr>
          <w:rFonts w:ascii="Times New Roman" w:hAnsi="Times New Roman" w:cs="Times New Roman"/>
          <w:sz w:val="22"/>
          <w:szCs w:val="22"/>
        </w:rPr>
        <w:t>edoucí OOV Ř ČIŽP</w:t>
      </w: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Datum zpracování:</w:t>
      </w:r>
      <w:r w:rsidRPr="00C6338F">
        <w:rPr>
          <w:rFonts w:ascii="Times New Roman" w:hAnsi="Times New Roman" w:cs="Times New Roman"/>
          <w:sz w:val="22"/>
          <w:szCs w:val="22"/>
        </w:rPr>
        <w:tab/>
      </w:r>
      <w:r w:rsidR="0077439F" w:rsidRPr="00C6338F">
        <w:rPr>
          <w:rFonts w:ascii="Times New Roman" w:hAnsi="Times New Roman" w:cs="Times New Roman"/>
          <w:sz w:val="22"/>
          <w:szCs w:val="22"/>
        </w:rPr>
        <w:t>25. 10. 2022</w:t>
      </w:r>
    </w:p>
    <w:p w:rsidR="00F75AC5" w:rsidRPr="00C6338F" w:rsidRDefault="00F75AC5" w:rsidP="00F75AC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C05BAC" w:rsidRPr="00C6338F" w:rsidRDefault="00C05BAC" w:rsidP="00C05BA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5B0D23" w:rsidRPr="00C6338F" w:rsidRDefault="00A97990" w:rsidP="00C52AAB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C6338F">
        <w:rPr>
          <w:rFonts w:ascii="Times New Roman" w:hAnsi="Times New Roman" w:cs="Times New Roman"/>
          <w:b/>
          <w:szCs w:val="22"/>
          <w:u w:val="single"/>
        </w:rPr>
        <w:lastRenderedPageBreak/>
        <w:t xml:space="preserve">Provádění kontrol v roce </w:t>
      </w:r>
      <w:r w:rsidR="0077439F" w:rsidRPr="00C6338F">
        <w:rPr>
          <w:rFonts w:ascii="Times New Roman" w:hAnsi="Times New Roman" w:cs="Times New Roman"/>
          <w:b/>
          <w:szCs w:val="22"/>
          <w:u w:val="single"/>
        </w:rPr>
        <w:t>2023</w:t>
      </w:r>
    </w:p>
    <w:p w:rsidR="00A97990" w:rsidRPr="00C6338F" w:rsidRDefault="00A97990" w:rsidP="009E3B0E">
      <w:pPr>
        <w:spacing w:after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9E3B0E" w:rsidRPr="00C6338F" w:rsidRDefault="009E3B0E" w:rsidP="00F33CF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C6338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Problematika prevence závažných havárií způsobených vybranými nebezpečnými chemickými látkami a chemickými směsmi je garantována Ministerstvem životního prostředí. Základním právním předpisem, pro tuto problematiku je zákon o prevenci závažných havárií. Zákon provádí příslušný předpis Evropské unie (Směrnici Evropského parlamentu a Rady 2012/18/EU, tzv. </w:t>
      </w:r>
      <w:proofErr w:type="spellStart"/>
      <w:r w:rsidRPr="00C6338F">
        <w:rPr>
          <w:rFonts w:ascii="Times New Roman" w:eastAsia="Times New Roman" w:hAnsi="Times New Roman" w:cs="Times New Roman"/>
          <w:sz w:val="22"/>
          <w:szCs w:val="22"/>
          <w:lang w:eastAsia="cs-CZ"/>
        </w:rPr>
        <w:t>Seveso</w:t>
      </w:r>
      <w:proofErr w:type="spellEnd"/>
      <w:r w:rsidRPr="00C6338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III).</w:t>
      </w:r>
    </w:p>
    <w:p w:rsidR="00A97990" w:rsidRPr="00C6338F" w:rsidRDefault="0077439F" w:rsidP="002B171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Nadále je třeba i v roce 2023</w:t>
      </w:r>
      <w:r w:rsidR="00A97990" w:rsidRPr="00C6338F">
        <w:rPr>
          <w:rFonts w:ascii="Times New Roman" w:hAnsi="Times New Roman" w:cs="Times New Roman"/>
          <w:sz w:val="22"/>
          <w:szCs w:val="22"/>
        </w:rPr>
        <w:t xml:space="preserve"> dodržovat maximální možnou ochranu inspektorů a osob kontrolovaného objektu.</w:t>
      </w:r>
      <w:r w:rsidR="009E3B0E" w:rsidRPr="00C6338F">
        <w:rPr>
          <w:rFonts w:ascii="Times New Roman" w:hAnsi="Times New Roman" w:cs="Times New Roman"/>
          <w:sz w:val="22"/>
          <w:szCs w:val="22"/>
        </w:rPr>
        <w:t xml:space="preserve"> </w:t>
      </w:r>
      <w:r w:rsidR="00A97990" w:rsidRPr="00C6338F">
        <w:rPr>
          <w:rFonts w:ascii="Times New Roman" w:hAnsi="Times New Roman" w:cs="Times New Roman"/>
          <w:sz w:val="22"/>
          <w:szCs w:val="22"/>
        </w:rPr>
        <w:t xml:space="preserve">Tomuto požadavku </w:t>
      </w:r>
      <w:r w:rsidRPr="00C6338F">
        <w:rPr>
          <w:rFonts w:ascii="Times New Roman" w:hAnsi="Times New Roman" w:cs="Times New Roman"/>
          <w:sz w:val="22"/>
          <w:szCs w:val="22"/>
        </w:rPr>
        <w:t>bude přizpůsobeno</w:t>
      </w:r>
      <w:r w:rsidR="00A97990" w:rsidRPr="00C6338F">
        <w:rPr>
          <w:rFonts w:ascii="Times New Roman" w:hAnsi="Times New Roman" w:cs="Times New Roman"/>
          <w:sz w:val="22"/>
          <w:szCs w:val="22"/>
        </w:rPr>
        <w:t xml:space="preserve"> provedení kontroly (individuální nastavení</w:t>
      </w:r>
      <w:r w:rsidR="00C61EA0" w:rsidRPr="00C6338F">
        <w:rPr>
          <w:rFonts w:ascii="Times New Roman" w:hAnsi="Times New Roman" w:cs="Times New Roman"/>
          <w:sz w:val="22"/>
          <w:szCs w:val="22"/>
        </w:rPr>
        <w:t xml:space="preserve"> kontroly</w:t>
      </w:r>
      <w:r w:rsidR="00A97990" w:rsidRPr="00C6338F">
        <w:rPr>
          <w:rFonts w:ascii="Times New Roman" w:hAnsi="Times New Roman" w:cs="Times New Roman"/>
          <w:sz w:val="22"/>
          <w:szCs w:val="22"/>
        </w:rPr>
        <w:t>, koordinace jednotlivých složek, efektivnost na místě, zatížení provozovatele v nezbytně nutné míře</w:t>
      </w:r>
      <w:r w:rsidR="00C61EA0" w:rsidRPr="00C6338F">
        <w:rPr>
          <w:rFonts w:ascii="Times New Roman" w:hAnsi="Times New Roman" w:cs="Times New Roman"/>
          <w:sz w:val="22"/>
          <w:szCs w:val="22"/>
        </w:rPr>
        <w:t>, případně korespondenční nebo online forma kontroly např. bezpečnostní dokumentace, auditů).</w:t>
      </w:r>
    </w:p>
    <w:p w:rsidR="00C61EA0" w:rsidRPr="00C6338F" w:rsidRDefault="00C61EA0" w:rsidP="002B171E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 xml:space="preserve">Kontrola podle zákona č. 224/2015 Sb. </w:t>
      </w:r>
      <w:r w:rsidR="00C7360C" w:rsidRPr="00C6338F">
        <w:rPr>
          <w:rFonts w:ascii="Times New Roman" w:hAnsi="Times New Roman" w:cs="Times New Roman"/>
          <w:sz w:val="22"/>
          <w:szCs w:val="22"/>
        </w:rPr>
        <w:t>b</w:t>
      </w:r>
      <w:r w:rsidRPr="00C6338F">
        <w:rPr>
          <w:rFonts w:ascii="Times New Roman" w:hAnsi="Times New Roman" w:cs="Times New Roman"/>
          <w:sz w:val="22"/>
          <w:szCs w:val="22"/>
        </w:rPr>
        <w:t>y měla vést ke vědomé strategii bezpečného provozu i za ztížených podmínek.</w:t>
      </w:r>
    </w:p>
    <w:p w:rsidR="00A97990" w:rsidRPr="00C6338F" w:rsidRDefault="00A97990" w:rsidP="00A9799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C61EA0" w:rsidRPr="00C6338F" w:rsidRDefault="0077439F" w:rsidP="00C52AAB">
      <w:pPr>
        <w:pStyle w:val="Odstavecseseznamem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C6338F">
        <w:rPr>
          <w:rFonts w:ascii="Times New Roman" w:hAnsi="Times New Roman" w:cs="Times New Roman"/>
          <w:b/>
          <w:szCs w:val="22"/>
          <w:u w:val="single"/>
        </w:rPr>
        <w:t>Právní rámec prevence závažných havárií</w:t>
      </w:r>
    </w:p>
    <w:p w:rsidR="0077439F" w:rsidRPr="00CA1411" w:rsidRDefault="0077439F" w:rsidP="00F33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>Základním právním předpisem, upravujícím oblast prevence závažných havárií, je </w:t>
      </w:r>
      <w:hyperlink r:id="rId8" w:tgtFrame="_blank" w:tooltip="odkaz se otevírá v novém okně" w:history="1">
        <w:r w:rsidRPr="00CA1411">
          <w:rPr>
            <w:rFonts w:ascii="Times New Roman" w:eastAsia="Times New Roman" w:hAnsi="Times New Roman" w:cs="Times New Roman"/>
            <w:sz w:val="22"/>
            <w:szCs w:val="22"/>
            <w:lang w:eastAsia="cs-CZ"/>
          </w:rPr>
          <w:t>zákon č. 224/2015 Sb.</w:t>
        </w:r>
      </w:hyperlink>
      <w:r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>, ze dne 12. srpna 2015, Zákon o prevenci závažných havárií způsobených vybranými nebezpečnými chemickými látkami nebo chemickými směsmi a o změně zákona č.634/2004 Sb., o správních poplatcích ve znění pozdějších předpisů (zákon o prevenci závažných havárií). Zákon zpracovává příslušnou Směrnici Evropského parlamentu a Rady 2012/18/EU a stanoví systém prevence závažných havárií pro objekty a zařízení, v nichž je umístěna vybraná nebezpečná chemická látka nebo chemická směs s cílem snížit pravděpodobnost vzniku a omezit následky případných závažných havárií na zdraví a životy lidí, hospodářská zvířata, životní prostředí a majetek. Zákon nabyl účinnosti dne 1. října 2015. Zákonem se ruší zákon č. 59/2006 Sb., o prevenci závažných havárií.</w:t>
      </w:r>
    </w:p>
    <w:p w:rsidR="0077439F" w:rsidRPr="00CA1411" w:rsidRDefault="0077439F" w:rsidP="00F33CFC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>K provedení zákona č. 224/2015 Sb., slouží následující právní předpisy:</w:t>
      </w:r>
    </w:p>
    <w:p w:rsidR="0077439F" w:rsidRPr="00C6338F" w:rsidRDefault="0077439F" w:rsidP="0077439F">
      <w:pPr>
        <w:shd w:val="clear" w:color="auto" w:fill="FFFFFF"/>
        <w:spacing w:after="100" w:afterAutospacing="1" w:line="240" w:lineRule="auto"/>
        <w:outlineLvl w:val="5"/>
        <w:rPr>
          <w:rFonts w:ascii="Times New Roman" w:eastAsia="Times New Roman" w:hAnsi="Times New Roman" w:cs="Times New Roman"/>
          <w:sz w:val="22"/>
          <w:szCs w:val="22"/>
          <w:u w:val="single"/>
          <w:lang w:eastAsia="cs-CZ"/>
        </w:rPr>
      </w:pPr>
      <w:r w:rsidRPr="00C6338F">
        <w:rPr>
          <w:rFonts w:ascii="Times New Roman" w:eastAsia="Times New Roman" w:hAnsi="Times New Roman" w:cs="Times New Roman"/>
          <w:sz w:val="22"/>
          <w:szCs w:val="22"/>
          <w:u w:val="single"/>
          <w:lang w:eastAsia="cs-CZ"/>
        </w:rPr>
        <w:t>Vyhlášky Ministerstva životního prostředí</w:t>
      </w:r>
    </w:p>
    <w:p w:rsidR="0077439F" w:rsidRPr="00CA1411" w:rsidRDefault="00B942E5" w:rsidP="00F33CF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hyperlink r:id="rId9" w:tgtFrame="_blank" w:tooltip="odkaz se otevírá v novém okně" w:history="1">
        <w:r w:rsidR="0077439F" w:rsidRPr="00CA1411">
          <w:rPr>
            <w:rFonts w:ascii="Times New Roman" w:eastAsia="Times New Roman" w:hAnsi="Times New Roman" w:cs="Times New Roman"/>
            <w:sz w:val="22"/>
            <w:szCs w:val="22"/>
            <w:lang w:eastAsia="cs-CZ"/>
          </w:rPr>
          <w:t>Vyhláška č. 227/2015 Sb.</w:t>
        </w:r>
      </w:hyperlink>
      <w:r w:rsidR="0077439F"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>, ze dne 24. srpna 2015, o náležitostech bezpečnostní dokumentace a rozsahu informací poskytovaných zpracovateli posudku.</w:t>
      </w:r>
    </w:p>
    <w:p w:rsidR="0077439F" w:rsidRPr="00CA1411" w:rsidRDefault="00B942E5" w:rsidP="00F33CF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hyperlink r:id="rId10" w:tgtFrame="_blank" w:tooltip="odkaz se otevírá v novém okně" w:history="1">
        <w:r w:rsidR="0077439F" w:rsidRPr="00CA1411">
          <w:rPr>
            <w:rFonts w:ascii="Times New Roman" w:eastAsia="Times New Roman" w:hAnsi="Times New Roman" w:cs="Times New Roman"/>
            <w:sz w:val="22"/>
            <w:szCs w:val="22"/>
            <w:lang w:eastAsia="cs-CZ"/>
          </w:rPr>
          <w:t>Vyhláška č. 228/2015 Sb.</w:t>
        </w:r>
      </w:hyperlink>
      <w:r w:rsidR="0077439F"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>, ze dne 24. srpna 2015 o rozsahu zpracování informace veřejnosti, hlášení o vzniku závažné havárie a konečné zprávy o vzniku a dopadech závažné havárie.</w:t>
      </w:r>
    </w:p>
    <w:p w:rsidR="0077439F" w:rsidRPr="00CA1411" w:rsidRDefault="00B942E5" w:rsidP="00F33CF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hyperlink r:id="rId11" w:tgtFrame="_blank" w:tooltip="odkaz se otevírá v novém okně" w:history="1">
        <w:r w:rsidR="0077439F" w:rsidRPr="00CA1411">
          <w:rPr>
            <w:rFonts w:ascii="Times New Roman" w:eastAsia="Times New Roman" w:hAnsi="Times New Roman" w:cs="Times New Roman"/>
            <w:sz w:val="22"/>
            <w:szCs w:val="22"/>
            <w:lang w:eastAsia="cs-CZ"/>
          </w:rPr>
          <w:t>Vyhláška č. 229/2015 Sb.</w:t>
        </w:r>
      </w:hyperlink>
      <w:r w:rsidR="0077439F"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>, ze dne 24. srpna 2015, o způsobu zpracování návrhu ročního plánu kontrol a náležitostech obsahu informace o výsledku kontroly a zprávy o kontrole.</w:t>
      </w:r>
    </w:p>
    <w:p w:rsidR="0077439F" w:rsidRPr="00CA1411" w:rsidRDefault="0077439F" w:rsidP="00F33CFC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>Vyhláška Ministerstva průmyslu a obchodu</w:t>
      </w:r>
    </w:p>
    <w:p w:rsidR="0077439F" w:rsidRPr="00CA1411" w:rsidRDefault="0077439F" w:rsidP="00F33CF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>Vyhláška č. 225/2015 Sb., ze dne 28. srpna 2015, o stanovení rozsahu bezpečnostních opatření fyzické ochrany objektu zařazeného do skupiny A nebo skupiny B.</w:t>
      </w:r>
    </w:p>
    <w:p w:rsidR="0077439F" w:rsidRPr="00C6338F" w:rsidRDefault="0077439F" w:rsidP="00F33CFC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sz w:val="22"/>
          <w:szCs w:val="22"/>
          <w:u w:val="single"/>
          <w:lang w:eastAsia="cs-CZ"/>
        </w:rPr>
      </w:pPr>
      <w:r w:rsidRPr="00C6338F">
        <w:rPr>
          <w:rFonts w:ascii="Times New Roman" w:eastAsia="Times New Roman" w:hAnsi="Times New Roman" w:cs="Times New Roman"/>
          <w:sz w:val="22"/>
          <w:szCs w:val="22"/>
          <w:u w:val="single"/>
          <w:lang w:eastAsia="cs-CZ"/>
        </w:rPr>
        <w:t>Vyhláška Ministerstva vnitra</w:t>
      </w:r>
    </w:p>
    <w:p w:rsidR="0077439F" w:rsidRPr="00CA1411" w:rsidRDefault="00B942E5" w:rsidP="00F33CF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hyperlink r:id="rId12" w:tgtFrame="_blank" w:tooltip="otevírá se v novém okně" w:history="1">
        <w:r w:rsidR="0077439F" w:rsidRPr="00CA1411">
          <w:rPr>
            <w:rFonts w:ascii="Times New Roman" w:eastAsia="Times New Roman" w:hAnsi="Times New Roman" w:cs="Times New Roman"/>
            <w:sz w:val="22"/>
            <w:szCs w:val="22"/>
            <w:lang w:eastAsia="cs-CZ"/>
          </w:rPr>
          <w:t>Vyhláška č. 311/2021</w:t>
        </w:r>
      </w:hyperlink>
      <w:r w:rsidR="0077439F"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> (PDF, 20 MB), kterou se mění vyhláška </w:t>
      </w:r>
      <w:proofErr w:type="spellStart"/>
      <w:r w:rsidR="0077439F"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>Vyhláška</w:t>
      </w:r>
      <w:proofErr w:type="spellEnd"/>
      <w:r w:rsidR="0077439F" w:rsidRPr="00CA1411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č. 226/2015 Sb., ze dne 12. srpna 2015, o zásadách pro vymezení zóny havarijního plánování a postupu při jejím vymezení a o náležitostech obsahu vnějšího havarijního plánu a jeho struktuře</w:t>
      </w:r>
    </w:p>
    <w:p w:rsidR="00C6338F" w:rsidRPr="00C6338F" w:rsidRDefault="00B82FB3" w:rsidP="00C6338F">
      <w:pPr>
        <w:shd w:val="clear" w:color="auto" w:fill="FFFFFF"/>
        <w:spacing w:before="100" w:beforeAutospacing="1" w:after="100" w:afterAutospacing="1" w:line="240" w:lineRule="auto"/>
        <w:jc w:val="both"/>
        <w:rPr>
          <w:sz w:val="22"/>
          <w:szCs w:val="22"/>
        </w:rPr>
      </w:pPr>
      <w:r w:rsidRPr="00C6338F">
        <w:rPr>
          <w:rStyle w:val="Siln"/>
          <w:rFonts w:ascii="Times New Roman" w:hAnsi="Times New Roman" w:cs="Times New Roman"/>
          <w:sz w:val="22"/>
          <w:szCs w:val="22"/>
        </w:rPr>
        <w:t>Změna zákona č.</w:t>
      </w:r>
      <w:r w:rsidR="00C7360C" w:rsidRPr="00C6338F">
        <w:rPr>
          <w:rStyle w:val="Siln"/>
          <w:rFonts w:ascii="Times New Roman" w:hAnsi="Times New Roman" w:cs="Times New Roman"/>
          <w:sz w:val="22"/>
          <w:szCs w:val="22"/>
        </w:rPr>
        <w:t xml:space="preserve"> </w:t>
      </w:r>
      <w:r w:rsidRPr="00C6338F">
        <w:rPr>
          <w:rStyle w:val="Siln"/>
          <w:rFonts w:ascii="Times New Roman" w:hAnsi="Times New Roman" w:cs="Times New Roman"/>
          <w:sz w:val="22"/>
          <w:szCs w:val="22"/>
        </w:rPr>
        <w:t>224/2015 Sb.</w:t>
      </w:r>
      <w:r w:rsidRPr="00C6338F">
        <w:rPr>
          <w:rFonts w:ascii="Times New Roman" w:hAnsi="Times New Roman" w:cs="Times New Roman"/>
          <w:sz w:val="22"/>
          <w:szCs w:val="22"/>
        </w:rPr>
        <w:t>, v souvislosti s novým stavebním zákonem č. 283/2021 Sb., resp. zákonem č. 284/2021 Sb., kterým se mění některé zákony v souvislosti s přijetím stavebního zákona,</w:t>
      </w:r>
      <w:r w:rsidR="00C7360C" w:rsidRPr="00C6338F">
        <w:rPr>
          <w:rFonts w:ascii="Times New Roman" w:hAnsi="Times New Roman" w:cs="Times New Roman"/>
          <w:sz w:val="22"/>
          <w:szCs w:val="22"/>
        </w:rPr>
        <w:t xml:space="preserve"> </w:t>
      </w:r>
      <w:r w:rsidRPr="00C6338F">
        <w:rPr>
          <w:rStyle w:val="Siln"/>
          <w:rFonts w:ascii="Times New Roman" w:hAnsi="Times New Roman" w:cs="Times New Roman"/>
          <w:sz w:val="22"/>
          <w:szCs w:val="22"/>
        </w:rPr>
        <w:t>nabývá účinnosti dnem 1. července 2023</w:t>
      </w:r>
      <w:r w:rsidRPr="00C6338F">
        <w:rPr>
          <w:rFonts w:ascii="Times New Roman" w:hAnsi="Times New Roman" w:cs="Times New Roman"/>
          <w:sz w:val="22"/>
          <w:szCs w:val="22"/>
        </w:rPr>
        <w:t>, podle Čl.</w:t>
      </w:r>
      <w:r w:rsidR="00C7360C" w:rsidRPr="00C6338F">
        <w:rPr>
          <w:rFonts w:ascii="Times New Roman" w:hAnsi="Times New Roman" w:cs="Times New Roman"/>
          <w:sz w:val="22"/>
          <w:szCs w:val="22"/>
        </w:rPr>
        <w:t xml:space="preserve"> </w:t>
      </w:r>
      <w:r w:rsidRPr="00C6338F">
        <w:rPr>
          <w:rFonts w:ascii="Times New Roman" w:hAnsi="Times New Roman" w:cs="Times New Roman"/>
          <w:sz w:val="22"/>
          <w:szCs w:val="22"/>
        </w:rPr>
        <w:t>XCV zákona č. 284/2021 Sb.</w:t>
      </w:r>
      <w:r w:rsidR="00C7360C" w:rsidRPr="00C6338F">
        <w:rPr>
          <w:rFonts w:ascii="Times New Roman" w:hAnsi="Times New Roman" w:cs="Times New Roman"/>
          <w:sz w:val="22"/>
          <w:szCs w:val="22"/>
        </w:rPr>
        <w:t xml:space="preserve"> </w:t>
      </w:r>
      <w:hyperlink r:id="rId13" w:tgtFrame="_blank" w:history="1">
        <w:r w:rsidRPr="00C6338F">
          <w:rPr>
            <w:rStyle w:val="Hypertextovodkaz"/>
            <w:rFonts w:ascii="Times New Roman" w:hAnsi="Times New Roman" w:cs="Times New Roman"/>
            <w:color w:val="auto"/>
            <w:sz w:val="22"/>
            <w:szCs w:val="22"/>
          </w:rPr>
          <w:t>Zákon s vyznačením změn</w:t>
        </w:r>
      </w:hyperlink>
      <w:r w:rsidR="002B171E" w:rsidRPr="00C6338F">
        <w:rPr>
          <w:rStyle w:val="Hypertextovodkaz"/>
          <w:rFonts w:ascii="Times New Roman" w:hAnsi="Times New Roman" w:cs="Times New Roman"/>
          <w:color w:val="auto"/>
          <w:sz w:val="22"/>
          <w:szCs w:val="22"/>
        </w:rPr>
        <w:t>.</w:t>
      </w:r>
    </w:p>
    <w:p w:rsidR="00C6338F" w:rsidRPr="00C6338F" w:rsidRDefault="00C6338F" w:rsidP="00C6338F">
      <w:pPr>
        <w:shd w:val="clear" w:color="auto" w:fill="FFFFFF"/>
        <w:spacing w:before="100" w:beforeAutospacing="1" w:after="100" w:afterAutospacing="1" w:line="240" w:lineRule="auto"/>
        <w:jc w:val="both"/>
        <w:rPr>
          <w:sz w:val="22"/>
          <w:szCs w:val="22"/>
        </w:rPr>
      </w:pPr>
    </w:p>
    <w:p w:rsidR="00C61EA0" w:rsidRPr="00CA1411" w:rsidRDefault="00C61EA0" w:rsidP="00C633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1411">
        <w:rPr>
          <w:rFonts w:ascii="Times New Roman" w:hAnsi="Times New Roman" w:cs="Times New Roman"/>
          <w:sz w:val="22"/>
          <w:szCs w:val="22"/>
        </w:rPr>
        <w:lastRenderedPageBreak/>
        <w:t>K provádění zákona je možné využít i metodické pokyny:</w:t>
      </w:r>
    </w:p>
    <w:p w:rsidR="009E3B0E" w:rsidRPr="00CA1411" w:rsidRDefault="00B942E5" w:rsidP="009E3B0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14" w:tgtFrame="_blank" w:tooltip="odkaz se otevírá v novém okně" w:history="1">
        <w:r w:rsidR="009E3B0E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Metodický pokyn pro postup při zařazování objektů</w:t>
        </w:r>
      </w:hyperlink>
    </w:p>
    <w:p w:rsidR="002B171E" w:rsidRPr="00CA1411" w:rsidRDefault="00B942E5" w:rsidP="002B171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15" w:tgtFrame="_blank" w:tooltip="odkaz se otevírá v novém okně" w:history="1">
        <w:r w:rsidR="009E3B0E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Certifikovaná metodika k provádění zákona o prevenci závažných havárii v případě podzemních zásobníků plynu</w:t>
        </w:r>
      </w:hyperlink>
    </w:p>
    <w:p w:rsidR="009E3B0E" w:rsidRPr="00CA1411" w:rsidRDefault="00B942E5" w:rsidP="002B171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16" w:tgtFrame="_blank" w:tooltip="odkaz se otevírá v novém okně" w:history="1">
        <w:r w:rsidR="009E3B0E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VUBP Odborné pracoviště pro prevenci závažných havárií – metodiky</w:t>
        </w:r>
      </w:hyperlink>
    </w:p>
    <w:p w:rsidR="009E3B0E" w:rsidRPr="00CA1411" w:rsidRDefault="00B942E5" w:rsidP="009E3B0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17" w:tgtFrame="_blank" w:tooltip="odkaz se otevírá v novém okně" w:history="1">
        <w:r w:rsidR="009E3B0E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Věstník MŽP metodické pokyny</w:t>
        </w:r>
      </w:hyperlink>
    </w:p>
    <w:p w:rsidR="009E3B0E" w:rsidRPr="00CA1411" w:rsidRDefault="009E3B0E" w:rsidP="009E3B0E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r w:rsidRPr="00CA1411">
        <w:rPr>
          <w:rFonts w:ascii="Times New Roman" w:hAnsi="Times New Roman" w:cs="Times New Roman"/>
          <w:sz w:val="22"/>
          <w:szCs w:val="22"/>
        </w:rPr>
        <w:t>H&amp;V index II </w:t>
      </w:r>
    </w:p>
    <w:p w:rsidR="009F6157" w:rsidRPr="00C6338F" w:rsidRDefault="009F6157" w:rsidP="00C61EA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C6338F">
        <w:rPr>
          <w:rFonts w:ascii="Times New Roman" w:eastAsia="Times New Roman" w:hAnsi="Times New Roman" w:cs="Times New Roman"/>
          <w:b/>
          <w:iCs w:val="0"/>
          <w:sz w:val="22"/>
          <w:szCs w:val="22"/>
          <w:u w:val="single"/>
          <w:lang w:eastAsia="cs-CZ"/>
        </w:rPr>
        <w:t xml:space="preserve">K provádění zákona lze využít také </w:t>
      </w:r>
      <w:r w:rsidR="009E3B0E" w:rsidRPr="00C6338F">
        <w:rPr>
          <w:rFonts w:ascii="Times New Roman" w:hAnsi="Times New Roman" w:cs="Times New Roman"/>
          <w:sz w:val="22"/>
          <w:szCs w:val="22"/>
          <w:u w:val="single"/>
        </w:rPr>
        <w:t xml:space="preserve">další </w:t>
      </w:r>
      <w:r w:rsidRPr="00C6338F">
        <w:rPr>
          <w:rFonts w:ascii="Times New Roman" w:hAnsi="Times New Roman" w:cs="Times New Roman"/>
          <w:sz w:val="22"/>
          <w:szCs w:val="22"/>
          <w:u w:val="single"/>
        </w:rPr>
        <w:t>informační zdroje,</w:t>
      </w:r>
      <w:r w:rsidR="009E3B0E" w:rsidRPr="00C6338F">
        <w:rPr>
          <w:rFonts w:ascii="Times New Roman" w:hAnsi="Times New Roman" w:cs="Times New Roman"/>
          <w:sz w:val="22"/>
          <w:szCs w:val="22"/>
          <w:u w:val="single"/>
        </w:rPr>
        <w:t xml:space="preserve"> vzdělávací materiály</w:t>
      </w:r>
      <w:r w:rsidRPr="00C6338F">
        <w:rPr>
          <w:rFonts w:ascii="Times New Roman" w:hAnsi="Times New Roman" w:cs="Times New Roman"/>
          <w:sz w:val="22"/>
          <w:szCs w:val="22"/>
          <w:u w:val="single"/>
        </w:rPr>
        <w:t>, databáze</w:t>
      </w:r>
      <w:r w:rsidR="009E3B0E" w:rsidRPr="00C6338F">
        <w:rPr>
          <w:rFonts w:ascii="Times New Roman" w:hAnsi="Times New Roman" w:cs="Times New Roman"/>
          <w:sz w:val="22"/>
          <w:szCs w:val="22"/>
          <w:u w:val="single"/>
        </w:rPr>
        <w:t xml:space="preserve">: </w:t>
      </w:r>
    </w:p>
    <w:p w:rsidR="009F6157" w:rsidRPr="00CA1411" w:rsidRDefault="00B942E5" w:rsidP="009F615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18" w:tgtFrame="_blank" w:tooltip="odkaz se otevírá v novém okně" w:history="1"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Evropská komise –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Industrial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accidents</w:t>
        </w:r>
        <w:proofErr w:type="spellEnd"/>
      </w:hyperlink>
    </w:p>
    <w:p w:rsidR="009F6157" w:rsidRPr="00CA1411" w:rsidRDefault="00B942E5" w:rsidP="009F615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19" w:tgtFrame="_blank" w:tooltip="odkaz se otevírá v novém okně" w:history="1"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Seveso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Expert Group (SEG)</w:t>
        </w:r>
      </w:hyperlink>
    </w:p>
    <w:p w:rsidR="009F6157" w:rsidRPr="00CA1411" w:rsidRDefault="009F6157" w:rsidP="009F6157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CA1411">
        <w:rPr>
          <w:rFonts w:ascii="Times New Roman" w:hAnsi="Times New Roman" w:cs="Times New Roman"/>
          <w:sz w:val="22"/>
          <w:szCs w:val="22"/>
        </w:rPr>
        <w:t>Questions</w:t>
      </w:r>
      <w:proofErr w:type="spellEnd"/>
      <w:r w:rsidRPr="00CA1411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Pr="00CA1411">
        <w:rPr>
          <w:rFonts w:ascii="Times New Roman" w:hAnsi="Times New Roman" w:cs="Times New Roman"/>
          <w:sz w:val="22"/>
          <w:szCs w:val="22"/>
        </w:rPr>
        <w:t>Answers</w:t>
      </w:r>
      <w:proofErr w:type="spellEnd"/>
    </w:p>
    <w:p w:rsidR="009F6157" w:rsidRPr="00CA1411" w:rsidRDefault="00B942E5" w:rsidP="009F615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20" w:tgtFrame="_blank" w:tooltip="odkaz se otevírá v novém okně" w:history="1"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Major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Accident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Hazards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Bureau</w:t>
        </w:r>
        <w:proofErr w:type="spellEnd"/>
      </w:hyperlink>
    </w:p>
    <w:p w:rsidR="009F6157" w:rsidRPr="00CA1411" w:rsidRDefault="00B942E5" w:rsidP="009F6157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21" w:tgtFrame="_blank" w:tooltip="odkaz se otevírá v novém okně" w:history="1"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eSPIRS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- databáze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Seveso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objektů</w:t>
        </w:r>
      </w:hyperlink>
    </w:p>
    <w:p w:rsidR="009F6157" w:rsidRPr="00CA1411" w:rsidRDefault="00B942E5" w:rsidP="009F6157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22" w:tgtFrame="_blank" w:tooltip="odkaz se otevírá v novém okně" w:history="1"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eMARS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- databáze závažných havárií</w:t>
        </w:r>
      </w:hyperlink>
    </w:p>
    <w:p w:rsidR="009F6157" w:rsidRPr="00CA1411" w:rsidRDefault="00B942E5" w:rsidP="009F615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23" w:tgtFrame="_blank" w:tooltip="odkaz se otevírá v novém okně" w:history="1"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Lessons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Learned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Bulletin</w:t>
        </w:r>
      </w:hyperlink>
    </w:p>
    <w:p w:rsidR="009F6157" w:rsidRPr="00CA1411" w:rsidRDefault="00B942E5" w:rsidP="009F615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24" w:tgtFrame="_blank" w:tooltip="odkaz se otevírá v novém okně" w:history="1"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UNECE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Convention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on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the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Transboundary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Effects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of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Industrial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Accidents</w:t>
        </w:r>
        <w:proofErr w:type="spellEnd"/>
      </w:hyperlink>
    </w:p>
    <w:p w:rsidR="009F6157" w:rsidRPr="00CA1411" w:rsidRDefault="00B942E5" w:rsidP="009F615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25" w:tgtFrame="_blank" w:tooltip="odkaz se otevírá v novém okně" w:history="1"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OECD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Chemical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accident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prevention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,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preparedness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and response</w:t>
        </w:r>
      </w:hyperlink>
    </w:p>
    <w:p w:rsidR="009F6157" w:rsidRPr="00CA1411" w:rsidRDefault="00B942E5" w:rsidP="009F615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26" w:tgtFrame="_blank" w:tooltip="odkaz se otevírá v novém okně" w:history="1"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CSB -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Chemical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Safety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</w:t>
        </w:r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Board</w:t>
        </w:r>
        <w:proofErr w:type="spellEnd"/>
      </w:hyperlink>
    </w:p>
    <w:p w:rsidR="009F6157" w:rsidRPr="00CA1411" w:rsidRDefault="00B942E5" w:rsidP="009F615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27" w:tgtFrame="_blank" w:tooltip="odkaz se otevírá v novém okně" w:history="1"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Josra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2016</w:t>
        </w:r>
      </w:hyperlink>
    </w:p>
    <w:p w:rsidR="009F6157" w:rsidRPr="00CA1411" w:rsidRDefault="00B942E5" w:rsidP="009F615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2"/>
          <w:szCs w:val="22"/>
        </w:rPr>
      </w:pPr>
      <w:hyperlink r:id="rId28" w:tgtFrame="_blank" w:tooltip="odkaz se otevírá v novém okně" w:history="1">
        <w:proofErr w:type="spellStart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Josra</w:t>
        </w:r>
        <w:proofErr w:type="spellEnd"/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2020</w:t>
        </w:r>
      </w:hyperlink>
    </w:p>
    <w:p w:rsidR="009F6157" w:rsidRDefault="00B942E5" w:rsidP="009F6157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Style w:val="Hypertextovodkaz"/>
          <w:rFonts w:ascii="Times New Roman" w:hAnsi="Times New Roman" w:cs="Times New Roman"/>
          <w:color w:val="auto"/>
          <w:sz w:val="22"/>
          <w:szCs w:val="22"/>
          <w:u w:val="none"/>
        </w:rPr>
      </w:pPr>
      <w:hyperlink r:id="rId29" w:tgtFrame="_blank" w:tooltip="odkaz se otevírá v novém okně" w:history="1">
        <w:r w:rsidR="009F6157" w:rsidRPr="00CA1411">
          <w:rPr>
            <w:rStyle w:val="Hypertextovodkaz"/>
            <w:rFonts w:ascii="Times New Roman" w:hAnsi="Times New Roman" w:cs="Times New Roman"/>
            <w:color w:val="auto"/>
            <w:sz w:val="22"/>
            <w:szCs w:val="22"/>
            <w:u w:val="none"/>
          </w:rPr>
          <w:t>MAPIS oborový portál prevence závažných havárií</w:t>
        </w:r>
      </w:hyperlink>
    </w:p>
    <w:p w:rsidR="00CA1411" w:rsidRDefault="00C6338F" w:rsidP="00CA1411">
      <w:pPr>
        <w:shd w:val="clear" w:color="auto" w:fill="FFFFFF"/>
        <w:spacing w:after="100" w:afterAutospacing="1" w:line="240" w:lineRule="auto"/>
        <w:outlineLvl w:val="0"/>
        <w:rPr>
          <w:rStyle w:val="Hypertextovodkaz"/>
          <w:rFonts w:ascii="Times New Roman" w:hAnsi="Times New Roman" w:cs="Times New Roman"/>
          <w:color w:val="auto"/>
          <w:sz w:val="22"/>
          <w:szCs w:val="22"/>
          <w:u w:val="none"/>
        </w:rPr>
      </w:pPr>
      <w:r>
        <w:rPr>
          <w:rStyle w:val="Hypertextovodkaz"/>
          <w:rFonts w:ascii="Times New Roman" w:hAnsi="Times New Roman" w:cs="Times New Roman"/>
          <w:color w:val="auto"/>
          <w:sz w:val="22"/>
          <w:szCs w:val="22"/>
          <w:u w:val="none"/>
        </w:rPr>
        <w:t xml:space="preserve">Všechny výše uvedené materiály naleznete </w:t>
      </w:r>
      <w:proofErr w:type="gramStart"/>
      <w:r>
        <w:rPr>
          <w:rStyle w:val="Hypertextovodkaz"/>
          <w:rFonts w:ascii="Times New Roman" w:hAnsi="Times New Roman" w:cs="Times New Roman"/>
          <w:color w:val="auto"/>
          <w:sz w:val="22"/>
          <w:szCs w:val="22"/>
          <w:u w:val="none"/>
        </w:rPr>
        <w:t>na</w:t>
      </w:r>
      <w:proofErr w:type="gramEnd"/>
      <w:r w:rsidR="00CA1411">
        <w:rPr>
          <w:rStyle w:val="Hypertextovodkaz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</w:p>
    <w:p w:rsidR="00CA1411" w:rsidRPr="00CA1411" w:rsidRDefault="00B942E5" w:rsidP="00CA1411">
      <w:pPr>
        <w:shd w:val="clear" w:color="auto" w:fill="FFFFFF"/>
        <w:spacing w:after="100" w:afterAutospacing="1" w:line="240" w:lineRule="auto"/>
        <w:outlineLvl w:val="0"/>
        <w:rPr>
          <w:color w:val="9F2936" w:themeColor="accent2"/>
        </w:rPr>
      </w:pPr>
      <w:hyperlink r:id="rId30" w:history="1">
        <w:r w:rsidR="00CA1411" w:rsidRPr="00CA1411">
          <w:rPr>
            <w:rStyle w:val="Hypertextovodkaz"/>
            <w:color w:val="9F2936" w:themeColor="accent2"/>
          </w:rPr>
          <w:t>Prevence závažných havárií - Ministerstvo životního prostředí (mzp.cz)</w:t>
        </w:r>
      </w:hyperlink>
    </w:p>
    <w:p w:rsidR="007C794F" w:rsidRPr="00DD53FB" w:rsidRDefault="00C05BAC" w:rsidP="00DD53FB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  <w:b/>
          <w:szCs w:val="22"/>
          <w:u w:val="single"/>
        </w:rPr>
      </w:pPr>
      <w:r w:rsidRPr="00DD53FB">
        <w:rPr>
          <w:rFonts w:ascii="Times New Roman" w:hAnsi="Times New Roman" w:cs="Times New Roman"/>
          <w:b/>
          <w:szCs w:val="22"/>
          <w:u w:val="single"/>
        </w:rPr>
        <w:t>Pokyny k vedení agendy dle zákona o prevenci závažných havárií</w:t>
      </w:r>
    </w:p>
    <w:p w:rsidR="007C794F" w:rsidRPr="00C6338F" w:rsidRDefault="00631E8A" w:rsidP="007C794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 xml:space="preserve">Kompetence České inspekce životního prostředí v rámci </w:t>
      </w:r>
      <w:r w:rsidR="00B2403A" w:rsidRPr="00C6338F">
        <w:rPr>
          <w:rFonts w:ascii="Times New Roman" w:hAnsi="Times New Roman" w:cs="Times New Roman"/>
          <w:sz w:val="22"/>
          <w:szCs w:val="22"/>
        </w:rPr>
        <w:t>výkonu státní správy upravují</w:t>
      </w:r>
      <w:r w:rsidRPr="00C6338F">
        <w:rPr>
          <w:rFonts w:ascii="Times New Roman" w:hAnsi="Times New Roman" w:cs="Times New Roman"/>
          <w:sz w:val="22"/>
          <w:szCs w:val="22"/>
        </w:rPr>
        <w:t xml:space="preserve"> </w:t>
      </w:r>
      <w:r w:rsidR="00B2403A" w:rsidRPr="00C6338F">
        <w:rPr>
          <w:rFonts w:ascii="Times New Roman" w:hAnsi="Times New Roman" w:cs="Times New Roman"/>
          <w:sz w:val="22"/>
          <w:szCs w:val="22"/>
        </w:rPr>
        <w:t xml:space="preserve">§§ </w:t>
      </w:r>
      <w:r w:rsidR="002D4569" w:rsidRPr="00C6338F">
        <w:rPr>
          <w:rFonts w:ascii="Times New Roman" w:hAnsi="Times New Roman" w:cs="Times New Roman"/>
          <w:sz w:val="22"/>
          <w:szCs w:val="22"/>
        </w:rPr>
        <w:t xml:space="preserve">39, </w:t>
      </w:r>
      <w:r w:rsidR="00B2403A" w:rsidRPr="00C6338F">
        <w:rPr>
          <w:rFonts w:ascii="Times New Roman" w:hAnsi="Times New Roman" w:cs="Times New Roman"/>
          <w:sz w:val="22"/>
          <w:szCs w:val="22"/>
        </w:rPr>
        <w:t xml:space="preserve">40, 41, </w:t>
      </w:r>
      <w:r w:rsidR="007C794F" w:rsidRPr="00C6338F">
        <w:rPr>
          <w:rFonts w:ascii="Times New Roman" w:hAnsi="Times New Roman" w:cs="Times New Roman"/>
          <w:sz w:val="22"/>
          <w:szCs w:val="22"/>
        </w:rPr>
        <w:t xml:space="preserve">48 zákona </w:t>
      </w:r>
      <w:r w:rsidR="008B30C7" w:rsidRPr="00C6338F">
        <w:rPr>
          <w:rFonts w:ascii="Times New Roman" w:hAnsi="Times New Roman" w:cs="Times New Roman"/>
          <w:sz w:val="22"/>
          <w:szCs w:val="22"/>
        </w:rPr>
        <w:t xml:space="preserve">č. 224/2015 Sb., o prevenci závažných havárií </w:t>
      </w:r>
      <w:r w:rsidR="007C794F" w:rsidRPr="00C6338F">
        <w:rPr>
          <w:rFonts w:ascii="Times New Roman" w:hAnsi="Times New Roman" w:cs="Times New Roman"/>
          <w:sz w:val="22"/>
          <w:szCs w:val="22"/>
        </w:rPr>
        <w:t xml:space="preserve">a Vyhláška Ministerstva životního prostředí </w:t>
      </w:r>
      <w:hyperlink r:id="rId31" w:history="1">
        <w:r w:rsidR="007C794F" w:rsidRPr="00C6338F">
          <w:rPr>
            <w:rFonts w:ascii="Times New Roman" w:hAnsi="Times New Roman" w:cs="Times New Roman"/>
            <w:sz w:val="22"/>
            <w:szCs w:val="22"/>
          </w:rPr>
          <w:t>č.</w:t>
        </w:r>
        <w:r w:rsidR="00B255EF" w:rsidRPr="00C6338F">
          <w:rPr>
            <w:rFonts w:ascii="Times New Roman" w:hAnsi="Times New Roman" w:cs="Times New Roman"/>
            <w:sz w:val="22"/>
            <w:szCs w:val="22"/>
          </w:rPr>
          <w:t> </w:t>
        </w:r>
        <w:r w:rsidR="007C794F" w:rsidRPr="00C6338F">
          <w:rPr>
            <w:rFonts w:ascii="Times New Roman" w:hAnsi="Times New Roman" w:cs="Times New Roman"/>
            <w:sz w:val="22"/>
            <w:szCs w:val="22"/>
          </w:rPr>
          <w:t>229/2015 Sb.</w:t>
        </w:r>
      </w:hyperlink>
      <w:r w:rsidR="007C794F" w:rsidRPr="00C6338F">
        <w:rPr>
          <w:rFonts w:ascii="Times New Roman" w:hAnsi="Times New Roman" w:cs="Times New Roman"/>
          <w:sz w:val="22"/>
          <w:szCs w:val="22"/>
        </w:rPr>
        <w:t>, o způsobu zpracování návrhu ročního plánu kontrol a náležitostech obsahu informace o vý</w:t>
      </w:r>
      <w:r w:rsidR="00B2403A" w:rsidRPr="00C6338F">
        <w:rPr>
          <w:rFonts w:ascii="Times New Roman" w:hAnsi="Times New Roman" w:cs="Times New Roman"/>
          <w:sz w:val="22"/>
          <w:szCs w:val="22"/>
        </w:rPr>
        <w:t xml:space="preserve">sledku kontroly </w:t>
      </w:r>
      <w:r w:rsidR="007C794F" w:rsidRPr="00C6338F">
        <w:rPr>
          <w:rFonts w:ascii="Times New Roman" w:hAnsi="Times New Roman" w:cs="Times New Roman"/>
          <w:sz w:val="22"/>
          <w:szCs w:val="22"/>
        </w:rPr>
        <w:t>a</w:t>
      </w:r>
      <w:r w:rsidR="008B30C7" w:rsidRPr="00C6338F">
        <w:rPr>
          <w:rFonts w:ascii="Times New Roman" w:hAnsi="Times New Roman" w:cs="Times New Roman"/>
          <w:sz w:val="22"/>
          <w:szCs w:val="22"/>
        </w:rPr>
        <w:t xml:space="preserve"> náležitostech</w:t>
      </w:r>
      <w:r w:rsidR="007C794F" w:rsidRPr="00C6338F">
        <w:rPr>
          <w:rFonts w:ascii="Times New Roman" w:hAnsi="Times New Roman" w:cs="Times New Roman"/>
          <w:sz w:val="22"/>
          <w:szCs w:val="22"/>
        </w:rPr>
        <w:t xml:space="preserve"> zprávy o kontrole.</w:t>
      </w:r>
    </w:p>
    <w:p w:rsidR="00B82FB3" w:rsidRPr="00C6338F" w:rsidRDefault="00B82FB3" w:rsidP="007C794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82FB3" w:rsidRPr="00C6338F" w:rsidRDefault="00B82FB3" w:rsidP="00C52AAB">
      <w:pPr>
        <w:pStyle w:val="Odstavecseseznamem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C6338F">
        <w:rPr>
          <w:rFonts w:ascii="Times New Roman" w:hAnsi="Times New Roman" w:cs="Times New Roman"/>
          <w:b/>
          <w:szCs w:val="22"/>
          <w:u w:val="single"/>
        </w:rPr>
        <w:t xml:space="preserve">Plán kontrol na rok </w:t>
      </w:r>
      <w:r w:rsidR="009F6157" w:rsidRPr="00C6338F">
        <w:rPr>
          <w:rFonts w:ascii="Times New Roman" w:hAnsi="Times New Roman" w:cs="Times New Roman"/>
          <w:b/>
          <w:szCs w:val="22"/>
          <w:u w:val="single"/>
        </w:rPr>
        <w:t>2023</w:t>
      </w:r>
    </w:p>
    <w:p w:rsidR="00B82FB3" w:rsidRPr="00C6338F" w:rsidRDefault="00B82FB3" w:rsidP="00B82FB3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>Četnost kontrol</w:t>
      </w:r>
    </w:p>
    <w:p w:rsidR="00B82FB3" w:rsidRPr="00C6338F" w:rsidRDefault="00B82FB3" w:rsidP="00F33CFC">
      <w:pPr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U provozovatele objektu zařazeného do skupiny B se provádí kontrola každý rok, u provozovatele objektu zařazeného do skupiny A se provádí nejméně jednou za tři roky.</w:t>
      </w:r>
    </w:p>
    <w:p w:rsidR="00371F20" w:rsidRPr="00C6338F" w:rsidRDefault="00371F20" w:rsidP="00F33CFC">
      <w:pPr>
        <w:jc w:val="both"/>
        <w:rPr>
          <w:rFonts w:ascii="Times New Roman" w:hAnsi="Times New Roman"/>
          <w:sz w:val="22"/>
          <w:szCs w:val="22"/>
        </w:rPr>
      </w:pPr>
      <w:r w:rsidRPr="00C6338F">
        <w:rPr>
          <w:rFonts w:ascii="Times New Roman" w:hAnsi="Times New Roman"/>
          <w:sz w:val="22"/>
          <w:szCs w:val="22"/>
        </w:rPr>
        <w:t>Interval kontrol může být modifikován podle aktuální situace v objektu. V případě závažného porušení zákona nebo havárie může být zkrácen, v případě systematického posouzení dlouhodobě kvalitního nastavení bezpečnostních procesů, může být prodloužen.</w:t>
      </w:r>
    </w:p>
    <w:p w:rsidR="00C52AAB" w:rsidRPr="00C6338F" w:rsidRDefault="00B82FB3" w:rsidP="00CA1411">
      <w:pPr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Při systematickém posuzování nebezpečí závažné havárie u jednotlivých objektů se posuzují a) jejich možné následky na lidské zdraví a životní prostředí, b) informace o výsledcích předešlých kontrol prováděných u provozovatele objektu; Česká inspekce životního prostředí může v</w:t>
      </w:r>
      <w:r w:rsidR="00C52AAB" w:rsidRPr="00C6338F">
        <w:rPr>
          <w:rFonts w:ascii="Times New Roman" w:hAnsi="Times New Roman" w:cs="Times New Roman"/>
          <w:sz w:val="22"/>
          <w:szCs w:val="22"/>
        </w:rPr>
        <w:t> </w:t>
      </w:r>
      <w:r w:rsidRPr="00C6338F">
        <w:rPr>
          <w:rFonts w:ascii="Times New Roman" w:hAnsi="Times New Roman" w:cs="Times New Roman"/>
          <w:sz w:val="22"/>
          <w:szCs w:val="22"/>
        </w:rPr>
        <w:t>rámci</w:t>
      </w:r>
      <w:r w:rsidR="00C52AAB" w:rsidRPr="00C6338F">
        <w:rPr>
          <w:rFonts w:ascii="Times New Roman" w:hAnsi="Times New Roman" w:cs="Times New Roman"/>
          <w:sz w:val="22"/>
          <w:szCs w:val="22"/>
        </w:rPr>
        <w:t xml:space="preserve"> systematického posuzování nebezpečí závažné havárie zohlednit rovněž výsledky kontrol provedených u provozovatele podle jiných právních předpisů.</w:t>
      </w:r>
    </w:p>
    <w:p w:rsidR="00C52AAB" w:rsidRPr="00C6338F" w:rsidRDefault="00C52AAB" w:rsidP="00CA1411">
      <w:pPr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lastRenderedPageBreak/>
        <w:t xml:space="preserve">Během roku 2022 </w:t>
      </w:r>
      <w:r w:rsidR="009F6157" w:rsidRPr="00C6338F">
        <w:rPr>
          <w:rFonts w:ascii="Times New Roman" w:hAnsi="Times New Roman" w:cs="Times New Roman"/>
          <w:sz w:val="22"/>
          <w:szCs w:val="22"/>
        </w:rPr>
        <w:t xml:space="preserve">byly </w:t>
      </w:r>
      <w:r w:rsidRPr="00C6338F">
        <w:rPr>
          <w:rFonts w:ascii="Times New Roman" w:hAnsi="Times New Roman" w:cs="Times New Roman"/>
          <w:sz w:val="22"/>
          <w:szCs w:val="22"/>
        </w:rPr>
        <w:t xml:space="preserve">Českou inspekcí životního prostředí </w:t>
      </w:r>
      <w:r w:rsidR="009F6157" w:rsidRPr="00C6338F">
        <w:rPr>
          <w:rFonts w:ascii="Times New Roman" w:hAnsi="Times New Roman" w:cs="Times New Roman"/>
          <w:sz w:val="22"/>
          <w:szCs w:val="22"/>
        </w:rPr>
        <w:t xml:space="preserve">vybrány vhodné </w:t>
      </w:r>
      <w:r w:rsidRPr="00C6338F">
        <w:rPr>
          <w:rFonts w:ascii="Times New Roman" w:hAnsi="Times New Roman" w:cs="Times New Roman"/>
          <w:sz w:val="22"/>
          <w:szCs w:val="22"/>
        </w:rPr>
        <w:t xml:space="preserve">objekty zařazené především do skupiny B k výše uvedenému posouzení. Kritéria hodnocení výsledků systematického posouzení nebezpečí závažné havárie jsou uvedena v příloze č. 2 k vyhlášce č. 229/2015 Sb. Součástí tohoto hodnocení je mimo vyjádření České inspekce životního prostředí také vyjádření krajského úřadu a orgánů integrované inspekce, které vykonávají dle zákona č. 224/2015 Sb. kontrolu (Státní úřad inspekce práce a oblastní inspektoráty práce, Český báňský úřad a obvodní báňské úřady, krajské hygienické stanice a hasičské záchranné sbory krajů). </w:t>
      </w:r>
      <w:r w:rsidR="009F6157" w:rsidRPr="00C6338F">
        <w:rPr>
          <w:rFonts w:ascii="Times New Roman" w:hAnsi="Times New Roman" w:cs="Times New Roman"/>
          <w:sz w:val="22"/>
          <w:szCs w:val="22"/>
        </w:rPr>
        <w:t>Nadále i v roce 2023 budou vybírány další vhodné objekty, které budou splňovat příslušná kritéria hodnocení výsledků systematického posouzení nebezpečí závažné havárie.</w:t>
      </w:r>
    </w:p>
    <w:p w:rsidR="00C52AAB" w:rsidRPr="00C6338F" w:rsidRDefault="00C52AAB" w:rsidP="00C52A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 xml:space="preserve">Plán kontrol na rok </w:t>
      </w:r>
      <w:r w:rsidR="009F6157" w:rsidRPr="00C6338F">
        <w:rPr>
          <w:rFonts w:ascii="Times New Roman" w:hAnsi="Times New Roman" w:cs="Times New Roman"/>
          <w:sz w:val="22"/>
          <w:szCs w:val="22"/>
        </w:rPr>
        <w:t xml:space="preserve">2023 </w:t>
      </w:r>
      <w:r w:rsidRPr="00C6338F">
        <w:rPr>
          <w:rFonts w:ascii="Times New Roman" w:hAnsi="Times New Roman" w:cs="Times New Roman"/>
          <w:sz w:val="22"/>
          <w:szCs w:val="22"/>
        </w:rPr>
        <w:t>byl doplněn v tabulce o informaci k </w:t>
      </w:r>
      <w:proofErr w:type="gramStart"/>
      <w:r w:rsidRPr="00C6338F">
        <w:rPr>
          <w:rFonts w:ascii="Times New Roman" w:hAnsi="Times New Roman" w:cs="Times New Roman"/>
          <w:sz w:val="22"/>
          <w:szCs w:val="22"/>
        </w:rPr>
        <w:t>domino</w:t>
      </w:r>
      <w:proofErr w:type="gramEnd"/>
      <w:r w:rsidRPr="00C6338F">
        <w:rPr>
          <w:rFonts w:ascii="Times New Roman" w:hAnsi="Times New Roman" w:cs="Times New Roman"/>
          <w:sz w:val="22"/>
          <w:szCs w:val="22"/>
        </w:rPr>
        <w:t xml:space="preserve"> efektu, vnějšímu zdroji rizika, zastoupení kontrolních orgánů při kontrole a havárii z hlediska zákona č. 224/2015 Sb.</w:t>
      </w:r>
      <w:r w:rsidR="009F6157" w:rsidRPr="00C6338F">
        <w:rPr>
          <w:rFonts w:ascii="Times New Roman" w:hAnsi="Times New Roman" w:cs="Times New Roman"/>
          <w:sz w:val="22"/>
          <w:szCs w:val="22"/>
        </w:rPr>
        <w:t>, pokud byly tyto informace k dispozici.</w:t>
      </w:r>
    </w:p>
    <w:p w:rsidR="00540A35" w:rsidRPr="00C6338F" w:rsidRDefault="00540A35" w:rsidP="00C52AAB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65CC7" w:rsidRPr="00C6338F" w:rsidRDefault="002C3E69" w:rsidP="00F33CFC">
      <w:pPr>
        <w:pStyle w:val="Odstavecseseznamem"/>
        <w:numPr>
          <w:ilvl w:val="0"/>
          <w:numId w:val="26"/>
        </w:numPr>
        <w:spacing w:before="240" w:after="120"/>
        <w:jc w:val="both"/>
        <w:rPr>
          <w:rFonts w:ascii="Times New Roman" w:hAnsi="Times New Roman" w:cs="Times New Roman"/>
          <w:b/>
          <w:szCs w:val="22"/>
        </w:rPr>
      </w:pPr>
      <w:r w:rsidRPr="00C6338F">
        <w:rPr>
          <w:rFonts w:ascii="Times New Roman" w:hAnsi="Times New Roman" w:cs="Times New Roman"/>
          <w:b/>
          <w:szCs w:val="22"/>
          <w:u w:val="single"/>
        </w:rPr>
        <w:t>Navržené postupy pro běžné kontroly</w:t>
      </w:r>
      <w:r w:rsidR="00A65CC7" w:rsidRPr="00C6338F">
        <w:rPr>
          <w:rFonts w:ascii="Times New Roman" w:hAnsi="Times New Roman" w:cs="Times New Roman"/>
          <w:b/>
          <w:szCs w:val="22"/>
          <w:u w:val="single"/>
        </w:rPr>
        <w:t xml:space="preserve"> </w:t>
      </w:r>
      <w:r w:rsidR="00A65CC7" w:rsidRPr="00C6338F">
        <w:rPr>
          <w:rFonts w:ascii="Times New Roman" w:hAnsi="Times New Roman" w:cs="Times New Roman"/>
          <w:szCs w:val="22"/>
        </w:rPr>
        <w:t>ověřením a zdůrazněním zejména těchto bodů:</w:t>
      </w:r>
    </w:p>
    <w:p w:rsidR="00A65CC7" w:rsidRPr="00C6338F" w:rsidRDefault="00A65CC7" w:rsidP="00A65CC7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szCs w:val="22"/>
        </w:rPr>
        <w:t>Kontrola havarijních plánů a souvisejících provozních předpisů a postupů v souvislosti s aktuální situací (jestli jsou aktuální, jestli jsou zaměstnanci podle nich v případě mimořádné situace schopni postupovat, kdy došlo k jejich prověření atd.)</w:t>
      </w:r>
      <w:r w:rsidR="00922269" w:rsidRPr="00C6338F">
        <w:rPr>
          <w:rFonts w:ascii="Times New Roman" w:hAnsi="Times New Roman" w:cs="Times New Roman"/>
          <w:szCs w:val="22"/>
        </w:rPr>
        <w:t>.</w:t>
      </w:r>
    </w:p>
    <w:p w:rsidR="00A65CC7" w:rsidRPr="00C6338F" w:rsidRDefault="00A65CC7" w:rsidP="00A65CC7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Dotaz a kontrola nastavení systému řízení nestandardního provozu (nezbytné ošetřit jednotlivé kroky, uzavírání, omezování, odstávka a najíždění provozu, protože se jedná o rizikové procesy z hlediska bezpečnosti.)</w:t>
      </w:r>
      <w:r w:rsidR="00922269" w:rsidRPr="00C6338F">
        <w:rPr>
          <w:rFonts w:ascii="Times New Roman" w:hAnsi="Times New Roman" w:cs="Times New Roman"/>
          <w:sz w:val="22"/>
          <w:szCs w:val="22"/>
        </w:rPr>
        <w:t>.</w:t>
      </w:r>
    </w:p>
    <w:p w:rsidR="00A65CC7" w:rsidRPr="00C6338F" w:rsidRDefault="00A65CC7" w:rsidP="00A65CC7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Kontrola plánování a provádění údržby a investic do bezpečnosti, protože nepříznivá ekonomická situace může vést k jejich odkládání</w:t>
      </w:r>
      <w:r w:rsidR="00922269" w:rsidRPr="00C6338F">
        <w:rPr>
          <w:rFonts w:ascii="Times New Roman" w:hAnsi="Times New Roman" w:cs="Times New Roman"/>
          <w:sz w:val="22"/>
          <w:szCs w:val="22"/>
        </w:rPr>
        <w:t>.</w:t>
      </w:r>
    </w:p>
    <w:p w:rsidR="00A65CC7" w:rsidRPr="00C6338F" w:rsidRDefault="00A65CC7" w:rsidP="004A6367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Cs w:val="22"/>
          <w:u w:val="single"/>
        </w:rPr>
      </w:pPr>
      <w:r w:rsidRPr="00C6338F">
        <w:rPr>
          <w:rFonts w:ascii="Times New Roman" w:hAnsi="Times New Roman" w:cs="Times New Roman"/>
          <w:szCs w:val="22"/>
        </w:rPr>
        <w:t>Změny v množství a logistice nebezpečných látek</w:t>
      </w:r>
      <w:r w:rsidR="00922269" w:rsidRPr="00C6338F">
        <w:rPr>
          <w:rFonts w:ascii="Times New Roman" w:hAnsi="Times New Roman" w:cs="Times New Roman"/>
          <w:szCs w:val="22"/>
        </w:rPr>
        <w:t>.</w:t>
      </w:r>
      <w:r w:rsidRPr="00C6338F">
        <w:rPr>
          <w:rFonts w:ascii="Times New Roman" w:hAnsi="Times New Roman" w:cs="Times New Roman"/>
          <w:szCs w:val="22"/>
        </w:rPr>
        <w:t xml:space="preserve"> </w:t>
      </w:r>
    </w:p>
    <w:p w:rsidR="00A65CC7" w:rsidRPr="00C6338F" w:rsidRDefault="00A65CC7" w:rsidP="004A6367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Cs w:val="22"/>
          <w:u w:val="single"/>
        </w:rPr>
      </w:pPr>
      <w:r w:rsidRPr="00C6338F">
        <w:rPr>
          <w:rFonts w:ascii="Times New Roman" w:hAnsi="Times New Roman" w:cs="Times New Roman"/>
          <w:szCs w:val="22"/>
        </w:rPr>
        <w:t>Zjištění, zda bezpečnostní dokumentace obsahuje pokyny pro postup a zabezpečení, které je nebo by bylo možné aplikovat během mimořádná situace, to znamená n</w:t>
      </w:r>
      <w:r w:rsidR="00B255EF" w:rsidRPr="00C6338F">
        <w:rPr>
          <w:rFonts w:ascii="Times New Roman" w:hAnsi="Times New Roman" w:cs="Times New Roman"/>
          <w:szCs w:val="22"/>
        </w:rPr>
        <w:t>estandardních úkonů při provozu</w:t>
      </w:r>
      <w:r w:rsidR="00922269" w:rsidRPr="00C6338F">
        <w:rPr>
          <w:rFonts w:ascii="Times New Roman" w:hAnsi="Times New Roman" w:cs="Times New Roman"/>
          <w:szCs w:val="22"/>
        </w:rPr>
        <w:t>.</w:t>
      </w:r>
    </w:p>
    <w:p w:rsidR="00A65CC7" w:rsidRPr="00C6338F" w:rsidRDefault="00A65CC7" w:rsidP="00A65CC7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Cs w:val="22"/>
          <w:u w:val="single"/>
        </w:rPr>
      </w:pPr>
      <w:r w:rsidRPr="00C6338F">
        <w:rPr>
          <w:rFonts w:ascii="Times New Roman" w:hAnsi="Times New Roman" w:cs="Times New Roman"/>
          <w:szCs w:val="22"/>
        </w:rPr>
        <w:t>Zda provozovatel prokazatelně seznamuje zaměstnance a ostatní fyzické osoby zdržující se v objektu v potřebném rozsahu o preventivních bezpečnostních opatřeních i případných opatřeních vyplývajících z mimořádných situa</w:t>
      </w:r>
      <w:r w:rsidR="00540A35" w:rsidRPr="00C6338F">
        <w:rPr>
          <w:rFonts w:ascii="Times New Roman" w:hAnsi="Times New Roman" w:cs="Times New Roman"/>
          <w:szCs w:val="22"/>
        </w:rPr>
        <w:t>cí</w:t>
      </w:r>
      <w:r w:rsidR="00B255EF" w:rsidRPr="00C6338F">
        <w:rPr>
          <w:rFonts w:ascii="Times New Roman" w:hAnsi="Times New Roman" w:cs="Times New Roman"/>
          <w:szCs w:val="22"/>
        </w:rPr>
        <w:t xml:space="preserve"> a o jejich žádoucím chování</w:t>
      </w:r>
      <w:r w:rsidR="00922269" w:rsidRPr="00C6338F">
        <w:rPr>
          <w:rFonts w:ascii="Times New Roman" w:hAnsi="Times New Roman" w:cs="Times New Roman"/>
          <w:szCs w:val="22"/>
        </w:rPr>
        <w:t>.</w:t>
      </w:r>
    </w:p>
    <w:p w:rsidR="00A65CC7" w:rsidRPr="00C6338F" w:rsidRDefault="00A65CC7" w:rsidP="00A65CC7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Cs w:val="22"/>
          <w:u w:val="single"/>
        </w:rPr>
      </w:pPr>
      <w:r w:rsidRPr="00C6338F">
        <w:rPr>
          <w:rFonts w:ascii="Times New Roman" w:hAnsi="Times New Roman" w:cs="Times New Roman"/>
          <w:szCs w:val="22"/>
        </w:rPr>
        <w:t>Zda provozovatel věnuje pozornost také evidenci nehod, úrazovosti, cvičení a havarijní připravenosti, zejména pak plnění opatření přijatých k p</w:t>
      </w:r>
      <w:r w:rsidR="00B255EF" w:rsidRPr="00C6338F">
        <w:rPr>
          <w:rFonts w:ascii="Times New Roman" w:hAnsi="Times New Roman" w:cs="Times New Roman"/>
          <w:szCs w:val="22"/>
        </w:rPr>
        <w:t>revenci vzniku závažné havárie</w:t>
      </w:r>
      <w:r w:rsidR="00922269" w:rsidRPr="00C6338F">
        <w:rPr>
          <w:rFonts w:ascii="Times New Roman" w:hAnsi="Times New Roman" w:cs="Times New Roman"/>
          <w:szCs w:val="22"/>
        </w:rPr>
        <w:t>.</w:t>
      </w:r>
    </w:p>
    <w:p w:rsidR="00A65CC7" w:rsidRPr="00C6338F" w:rsidRDefault="00A65CC7" w:rsidP="00A65CC7">
      <w:pPr>
        <w:pStyle w:val="Odstavecseseznamem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Cs w:val="22"/>
          <w:u w:val="single"/>
        </w:rPr>
      </w:pPr>
      <w:r w:rsidRPr="00C6338F">
        <w:rPr>
          <w:rFonts w:ascii="Times New Roman" w:hAnsi="Times New Roman" w:cs="Times New Roman"/>
          <w:szCs w:val="22"/>
        </w:rPr>
        <w:t>Zjištění plnění nedostatků evidovaných</w:t>
      </w:r>
      <w:r w:rsidR="00B255EF" w:rsidRPr="00C6338F">
        <w:rPr>
          <w:rFonts w:ascii="Times New Roman" w:hAnsi="Times New Roman" w:cs="Times New Roman"/>
          <w:szCs w:val="22"/>
        </w:rPr>
        <w:t xml:space="preserve"> při předchozích kontrolách</w:t>
      </w:r>
      <w:r w:rsidR="00922269" w:rsidRPr="00C6338F">
        <w:rPr>
          <w:rFonts w:ascii="Times New Roman" w:hAnsi="Times New Roman" w:cs="Times New Roman"/>
          <w:szCs w:val="22"/>
        </w:rPr>
        <w:t>.</w:t>
      </w:r>
    </w:p>
    <w:p w:rsidR="00A65CC7" w:rsidRPr="00C6338F" w:rsidRDefault="00A65CC7" w:rsidP="00A65CC7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szCs w:val="22"/>
        </w:rPr>
        <w:t>Opatření přijatá k prevenci vz</w:t>
      </w:r>
      <w:r w:rsidR="00B255EF" w:rsidRPr="00C6338F">
        <w:rPr>
          <w:rFonts w:ascii="Times New Roman" w:hAnsi="Times New Roman" w:cs="Times New Roman"/>
          <w:szCs w:val="22"/>
        </w:rPr>
        <w:t>niku závažné havárie v</w:t>
      </w:r>
      <w:r w:rsidR="00922269" w:rsidRPr="00C6338F">
        <w:rPr>
          <w:rFonts w:ascii="Times New Roman" w:hAnsi="Times New Roman" w:cs="Times New Roman"/>
          <w:szCs w:val="22"/>
        </w:rPr>
        <w:t> </w:t>
      </w:r>
      <w:r w:rsidR="00B255EF" w:rsidRPr="00C6338F">
        <w:rPr>
          <w:rFonts w:ascii="Times New Roman" w:hAnsi="Times New Roman" w:cs="Times New Roman"/>
          <w:szCs w:val="22"/>
        </w:rPr>
        <w:t>objektu</w:t>
      </w:r>
      <w:r w:rsidR="00922269" w:rsidRPr="00C6338F">
        <w:rPr>
          <w:rFonts w:ascii="Times New Roman" w:hAnsi="Times New Roman" w:cs="Times New Roman"/>
          <w:szCs w:val="22"/>
        </w:rPr>
        <w:t>.</w:t>
      </w:r>
    </w:p>
    <w:p w:rsidR="00A65CC7" w:rsidRPr="00C6338F" w:rsidRDefault="00A65CC7" w:rsidP="00A65CC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 w:val="0"/>
          <w:sz w:val="22"/>
          <w:szCs w:val="22"/>
        </w:rPr>
      </w:pPr>
      <w:r w:rsidRPr="00C6338F">
        <w:rPr>
          <w:rFonts w:ascii="Times New Roman" w:hAnsi="Times New Roman" w:cs="Times New Roman"/>
          <w:iCs w:val="0"/>
          <w:sz w:val="22"/>
          <w:szCs w:val="22"/>
        </w:rPr>
        <w:t>Pouze pro objekty, u kterých nebyl dotazník vyplněn v roce 202</w:t>
      </w:r>
      <w:r w:rsidR="00540A35" w:rsidRPr="00C6338F">
        <w:rPr>
          <w:rFonts w:ascii="Times New Roman" w:hAnsi="Times New Roman" w:cs="Times New Roman"/>
          <w:iCs w:val="0"/>
          <w:sz w:val="22"/>
          <w:szCs w:val="22"/>
        </w:rPr>
        <w:t>1</w:t>
      </w:r>
      <w:r w:rsidRPr="00C6338F">
        <w:rPr>
          <w:rFonts w:ascii="Times New Roman" w:hAnsi="Times New Roman" w:cs="Times New Roman"/>
          <w:iCs w:val="0"/>
          <w:sz w:val="22"/>
          <w:szCs w:val="22"/>
        </w:rPr>
        <w:t>,</w:t>
      </w:r>
      <w:r w:rsidRPr="00C6338F">
        <w:rPr>
          <w:rFonts w:ascii="Times New Roman" w:hAnsi="Times New Roman" w:cs="Times New Roman"/>
          <w:b/>
          <w:bCs/>
          <w:iCs w:val="0"/>
          <w:sz w:val="22"/>
          <w:szCs w:val="22"/>
        </w:rPr>
        <w:t xml:space="preserve"> </w:t>
      </w:r>
      <w:r w:rsidR="00B255EF" w:rsidRPr="00C6338F">
        <w:rPr>
          <w:rFonts w:ascii="Times New Roman" w:hAnsi="Times New Roman" w:cs="Times New Roman"/>
          <w:bCs/>
          <w:iCs w:val="0"/>
          <w:sz w:val="22"/>
          <w:szCs w:val="22"/>
        </w:rPr>
        <w:t xml:space="preserve">vyplnění dotazníku </w:t>
      </w:r>
      <w:r w:rsidRPr="00C6338F">
        <w:rPr>
          <w:rFonts w:ascii="Times New Roman" w:hAnsi="Times New Roman" w:cs="Times New Roman"/>
          <w:iCs w:val="0"/>
          <w:sz w:val="22"/>
          <w:szCs w:val="22"/>
        </w:rPr>
        <w:t>Stárnutí.</w:t>
      </w:r>
    </w:p>
    <w:p w:rsidR="00A65CC7" w:rsidRPr="00C6338F" w:rsidRDefault="00A65CC7" w:rsidP="00A65CC7">
      <w:pPr>
        <w:spacing w:after="0"/>
        <w:jc w:val="both"/>
        <w:rPr>
          <w:rFonts w:ascii="Times New Roman" w:hAnsi="Times New Roman" w:cs="Times New Roman"/>
          <w:iCs w:val="0"/>
          <w:sz w:val="22"/>
          <w:szCs w:val="22"/>
        </w:rPr>
      </w:pPr>
    </w:p>
    <w:p w:rsidR="00A65CC7" w:rsidRPr="00C6338F" w:rsidRDefault="00A65CC7" w:rsidP="00A65CC7">
      <w:pPr>
        <w:pStyle w:val="Odstavecseseznamem"/>
        <w:numPr>
          <w:ilvl w:val="0"/>
          <w:numId w:val="0"/>
        </w:numPr>
        <w:spacing w:after="0"/>
        <w:ind w:left="360"/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szCs w:val="22"/>
        </w:rPr>
        <w:t>Odpovědi budou uvedeny ve zprávě o kontrole.</w:t>
      </w:r>
    </w:p>
    <w:p w:rsidR="00A65CC7" w:rsidRPr="00C6338F" w:rsidRDefault="00A65CC7" w:rsidP="00A65CC7">
      <w:pPr>
        <w:pStyle w:val="Odstavecseseznamem"/>
        <w:numPr>
          <w:ilvl w:val="0"/>
          <w:numId w:val="0"/>
        </w:numPr>
        <w:spacing w:after="0"/>
        <w:ind w:left="360"/>
        <w:jc w:val="both"/>
        <w:rPr>
          <w:rFonts w:ascii="Times New Roman" w:hAnsi="Times New Roman" w:cs="Times New Roman"/>
          <w:szCs w:val="22"/>
          <w:u w:val="single"/>
        </w:rPr>
      </w:pPr>
      <w:r w:rsidRPr="00C6338F">
        <w:rPr>
          <w:rFonts w:ascii="Times New Roman" w:hAnsi="Times New Roman" w:cs="Times New Roman"/>
          <w:szCs w:val="22"/>
        </w:rPr>
        <w:t>Naopak je možné podle potřeby některé body každoročně se opakující pro letošní rok ve zprávě o</w:t>
      </w:r>
      <w:r w:rsidR="00B255EF" w:rsidRPr="00C6338F">
        <w:rPr>
          <w:rFonts w:ascii="Times New Roman" w:hAnsi="Times New Roman" w:cs="Times New Roman"/>
          <w:szCs w:val="22"/>
        </w:rPr>
        <w:t> </w:t>
      </w:r>
      <w:r w:rsidRPr="00C6338F">
        <w:rPr>
          <w:rFonts w:ascii="Times New Roman" w:hAnsi="Times New Roman" w:cs="Times New Roman"/>
          <w:szCs w:val="22"/>
        </w:rPr>
        <w:t>kontrole vynechat.</w:t>
      </w:r>
    </w:p>
    <w:p w:rsidR="005E4E88" w:rsidRPr="00C6338F" w:rsidRDefault="005E4E88" w:rsidP="00C52A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C52AAB" w:rsidRPr="00C6338F" w:rsidRDefault="00C52AAB" w:rsidP="00C52AAB">
      <w:pPr>
        <w:pStyle w:val="Odstavecseseznamem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C6338F">
        <w:rPr>
          <w:rFonts w:ascii="Times New Roman" w:hAnsi="Times New Roman" w:cs="Times New Roman"/>
          <w:b/>
          <w:szCs w:val="22"/>
          <w:u w:val="single"/>
        </w:rPr>
        <w:t>Navržené postupy pro mimořádné kontroly:</w:t>
      </w:r>
    </w:p>
    <w:p w:rsidR="00C52AAB" w:rsidRPr="00C6338F" w:rsidRDefault="00C52AAB" w:rsidP="00C52A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(na základě havárie, mimořádné události, zjištěných vážných nedostatků, oznámení)</w:t>
      </w:r>
    </w:p>
    <w:p w:rsidR="00C52AAB" w:rsidRPr="00C6338F" w:rsidRDefault="00B255EF" w:rsidP="00C52A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 xml:space="preserve">Kontrola bude zaměřena </w:t>
      </w:r>
      <w:r w:rsidR="00C52AAB" w:rsidRPr="00C6338F">
        <w:rPr>
          <w:rFonts w:ascii="Times New Roman" w:hAnsi="Times New Roman" w:cs="Times New Roman"/>
          <w:sz w:val="22"/>
          <w:szCs w:val="22"/>
        </w:rPr>
        <w:t>především</w:t>
      </w:r>
      <w:r w:rsidRPr="00C6338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6338F">
        <w:rPr>
          <w:rFonts w:ascii="Times New Roman" w:hAnsi="Times New Roman" w:cs="Times New Roman"/>
          <w:sz w:val="22"/>
          <w:szCs w:val="22"/>
        </w:rPr>
        <w:t>na</w:t>
      </w:r>
      <w:proofErr w:type="gramEnd"/>
      <w:r w:rsidR="00C52AAB" w:rsidRPr="00C6338F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52AAB" w:rsidRPr="00C6338F" w:rsidRDefault="00B255EF" w:rsidP="00C52AAB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szCs w:val="22"/>
        </w:rPr>
        <w:t>P</w:t>
      </w:r>
      <w:r w:rsidR="00C52AAB" w:rsidRPr="00C6338F">
        <w:rPr>
          <w:rFonts w:ascii="Times New Roman" w:hAnsi="Times New Roman" w:cs="Times New Roman"/>
          <w:szCs w:val="22"/>
        </w:rPr>
        <w:t>rohlídku místa havárie, podrobný popis a fotodokumentaci</w:t>
      </w:r>
    </w:p>
    <w:p w:rsidR="00C52AAB" w:rsidRPr="00C6338F" w:rsidRDefault="00B255EF" w:rsidP="00C52AA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szCs w:val="22"/>
        </w:rPr>
        <w:lastRenderedPageBreak/>
        <w:t>O</w:t>
      </w:r>
      <w:r w:rsidR="00C52AAB" w:rsidRPr="00C6338F">
        <w:rPr>
          <w:rFonts w:ascii="Times New Roman" w:hAnsi="Times New Roman" w:cs="Times New Roman"/>
          <w:szCs w:val="22"/>
        </w:rPr>
        <w:t>bsah hlášení a zprávy o závažné havárii</w:t>
      </w:r>
    </w:p>
    <w:p w:rsidR="00C52AAB" w:rsidRPr="00C6338F" w:rsidRDefault="00B255EF" w:rsidP="00C52AA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szCs w:val="22"/>
        </w:rPr>
        <w:t>E</w:t>
      </w:r>
      <w:r w:rsidR="00C52AAB" w:rsidRPr="00C6338F">
        <w:rPr>
          <w:rFonts w:ascii="Times New Roman" w:hAnsi="Times New Roman" w:cs="Times New Roman"/>
          <w:szCs w:val="22"/>
        </w:rPr>
        <w:t>videnc</w:t>
      </w:r>
      <w:r w:rsidRPr="00C6338F">
        <w:rPr>
          <w:rFonts w:ascii="Times New Roman" w:hAnsi="Times New Roman" w:cs="Times New Roman"/>
          <w:szCs w:val="22"/>
        </w:rPr>
        <w:t>i</w:t>
      </w:r>
      <w:r w:rsidR="00C52AAB" w:rsidRPr="00C6338F">
        <w:rPr>
          <w:rFonts w:ascii="Times New Roman" w:hAnsi="Times New Roman" w:cs="Times New Roman"/>
          <w:szCs w:val="22"/>
        </w:rPr>
        <w:t xml:space="preserve"> mimořádných událostí, jejich vyhodnocování</w:t>
      </w:r>
    </w:p>
    <w:p w:rsidR="00C52AAB" w:rsidRPr="00C6338F" w:rsidRDefault="00B255EF" w:rsidP="00C52AA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szCs w:val="22"/>
        </w:rPr>
        <w:t>P</w:t>
      </w:r>
      <w:r w:rsidR="00C52AAB" w:rsidRPr="00C6338F">
        <w:rPr>
          <w:rFonts w:ascii="Times New Roman" w:hAnsi="Times New Roman" w:cs="Times New Roman"/>
          <w:szCs w:val="22"/>
        </w:rPr>
        <w:t>rovedené změny v objektu nebo zařízení po havárii</w:t>
      </w:r>
    </w:p>
    <w:p w:rsidR="00C52AAB" w:rsidRPr="00C6338F" w:rsidRDefault="00B255EF" w:rsidP="00C52AA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szCs w:val="22"/>
        </w:rPr>
        <w:t>Prověření oznámení</w:t>
      </w:r>
    </w:p>
    <w:p w:rsidR="00C52AAB" w:rsidRPr="00C6338F" w:rsidRDefault="00B255EF" w:rsidP="00AD334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szCs w:val="22"/>
        </w:rPr>
        <w:t>Realizaci</w:t>
      </w:r>
      <w:r w:rsidR="00C52AAB" w:rsidRPr="00C6338F">
        <w:rPr>
          <w:rFonts w:ascii="Times New Roman" w:hAnsi="Times New Roman" w:cs="Times New Roman"/>
          <w:szCs w:val="22"/>
        </w:rPr>
        <w:t xml:space="preserve"> uložených nápravných opatření atd.</w:t>
      </w:r>
    </w:p>
    <w:p w:rsidR="00C52AAB" w:rsidRPr="00C6338F" w:rsidRDefault="00C52AAB" w:rsidP="00C52AAB">
      <w:pPr>
        <w:pStyle w:val="Odstavecseseznamem"/>
        <w:numPr>
          <w:ilvl w:val="0"/>
          <w:numId w:val="0"/>
        </w:numPr>
        <w:spacing w:after="0"/>
        <w:ind w:left="720"/>
        <w:jc w:val="both"/>
        <w:rPr>
          <w:rFonts w:ascii="Times New Roman" w:hAnsi="Times New Roman" w:cs="Times New Roman"/>
          <w:szCs w:val="22"/>
        </w:rPr>
      </w:pPr>
    </w:p>
    <w:p w:rsidR="00C52AAB" w:rsidRPr="00C6338F" w:rsidRDefault="00C52AAB" w:rsidP="00C52AAB">
      <w:pPr>
        <w:pStyle w:val="Odstavecseseznamem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C6338F">
        <w:rPr>
          <w:rFonts w:ascii="Times New Roman" w:hAnsi="Times New Roman" w:cs="Times New Roman"/>
          <w:b/>
          <w:szCs w:val="22"/>
          <w:u w:val="single"/>
        </w:rPr>
        <w:t>Výstupy z kontroly</w:t>
      </w:r>
    </w:p>
    <w:p w:rsidR="00C52AAB" w:rsidRPr="00C6338F" w:rsidRDefault="00C52AAB" w:rsidP="00F33CF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b/>
          <w:szCs w:val="22"/>
        </w:rPr>
        <w:t xml:space="preserve">zpráva o kontrole - </w:t>
      </w:r>
      <w:r w:rsidRPr="00C6338F">
        <w:rPr>
          <w:rFonts w:ascii="Times New Roman" w:hAnsi="Times New Roman" w:cs="Times New Roman"/>
          <w:szCs w:val="22"/>
        </w:rPr>
        <w:t>OI ČIŽP zpracuje zprávu na základě informací od krajského úřadu a orgánů integrované inspekce a na základě vlastních zjištění (přílohy vyhlášky č. 229/2015 Sb.)</w:t>
      </w:r>
    </w:p>
    <w:p w:rsidR="00C52AAB" w:rsidRPr="00C6338F" w:rsidRDefault="00C52AAB" w:rsidP="00C52AAB">
      <w:pPr>
        <w:pStyle w:val="Odstavecseseznamem"/>
        <w:numPr>
          <w:ilvl w:val="0"/>
          <w:numId w:val="0"/>
        </w:numPr>
        <w:spacing w:after="0"/>
        <w:ind w:left="720"/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b/>
          <w:szCs w:val="22"/>
        </w:rPr>
        <w:t>Ve zprávě o kontrole věcně uvede i poznatky z informací ostatních členů kontroly tak, aby zpráva obsahovala kompletní zjištění.</w:t>
      </w:r>
    </w:p>
    <w:p w:rsidR="00C52AAB" w:rsidRPr="00C6338F" w:rsidRDefault="00C52AAB" w:rsidP="00F33CFC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>OI ČIŽP projedná zprávu o kontrole s provozovatelem do 30 dnů ode dne provedení posledního kontrolního úkonu</w:t>
      </w:r>
    </w:p>
    <w:p w:rsidR="00C52AAB" w:rsidRPr="00C6338F" w:rsidRDefault="00C52AAB" w:rsidP="00C52AAB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sz w:val="22"/>
          <w:szCs w:val="22"/>
        </w:rPr>
        <w:t xml:space="preserve"> OI ČIŽP do 15 dnů ode dne tohoto projednání zašle zprávu o kontrole provozovateli, krajskému úřadu a MŽP</w:t>
      </w:r>
    </w:p>
    <w:p w:rsidR="005E4E88" w:rsidRPr="00C6338F" w:rsidRDefault="005E4E88" w:rsidP="00F33CFC">
      <w:pPr>
        <w:spacing w:after="0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C52AAB" w:rsidRPr="00C6338F" w:rsidRDefault="00C52AAB" w:rsidP="00C52AAB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 xml:space="preserve">I když se nejedná o zákonnou povinnost, prosím o zasílání těchto zpráv rovněž na ředitelství ČIŽP, v elektronické podobě na </w:t>
      </w:r>
      <w:hyperlink r:id="rId32" w:history="1">
        <w:r w:rsidRPr="00C6338F">
          <w:rPr>
            <w:rStyle w:val="Hypertextovodkaz"/>
            <w:rFonts w:ascii="Times New Roman" w:hAnsi="Times New Roman" w:cs="Times New Roman"/>
            <w:b/>
            <w:color w:val="auto"/>
            <w:sz w:val="22"/>
            <w:szCs w:val="22"/>
          </w:rPr>
          <w:t>martina.pazourova@cizp.cz</w:t>
        </w:r>
      </w:hyperlink>
      <w:r w:rsidRPr="00C6338F">
        <w:rPr>
          <w:rFonts w:ascii="Times New Roman" w:hAnsi="Times New Roman" w:cs="Times New Roman"/>
          <w:b/>
          <w:sz w:val="22"/>
          <w:szCs w:val="22"/>
        </w:rPr>
        <w:t>. Tyto zprávy slouží jako podklad pro zpracování roční souhrnné zprávy o kontrolách, která je zasílána MŽP.</w:t>
      </w:r>
    </w:p>
    <w:p w:rsidR="00C52AAB" w:rsidRPr="00C6338F" w:rsidRDefault="00C52AAB" w:rsidP="00C52A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C52AAB" w:rsidRPr="00C6338F" w:rsidRDefault="00C52AAB" w:rsidP="00C52AAB">
      <w:pPr>
        <w:pStyle w:val="Odstavecseseznamem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C6338F">
        <w:rPr>
          <w:rFonts w:ascii="Times New Roman" w:hAnsi="Times New Roman" w:cs="Times New Roman"/>
          <w:b/>
          <w:szCs w:val="22"/>
          <w:u w:val="single"/>
        </w:rPr>
        <w:t>Opatření a sankce</w:t>
      </w:r>
    </w:p>
    <w:p w:rsidR="00C52AAB" w:rsidRPr="00C6338F" w:rsidRDefault="00C52AAB" w:rsidP="00F33CFC">
      <w:pPr>
        <w:pStyle w:val="Odstavecseseznamem"/>
        <w:numPr>
          <w:ilvl w:val="0"/>
          <w:numId w:val="28"/>
        </w:numPr>
        <w:jc w:val="both"/>
        <w:rPr>
          <w:rFonts w:ascii="Times New Roman" w:hAnsi="Times New Roman" w:cs="Times New Roman"/>
          <w:szCs w:val="22"/>
        </w:rPr>
      </w:pPr>
      <w:r w:rsidRPr="00C6338F">
        <w:rPr>
          <w:rFonts w:ascii="Times New Roman" w:hAnsi="Times New Roman" w:cs="Times New Roman"/>
          <w:szCs w:val="22"/>
        </w:rPr>
        <w:t>Na základě zprávy o kontrole ukládá opatření k nápravě a projednává přestupky krajský úřad.</w:t>
      </w:r>
    </w:p>
    <w:p w:rsidR="00C52AAB" w:rsidRPr="00C6338F" w:rsidRDefault="00C52AAB" w:rsidP="00C52AAB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C6338F">
        <w:rPr>
          <w:rFonts w:ascii="Times New Roman" w:hAnsi="Times New Roman" w:cs="Times New Roman"/>
          <w:szCs w:val="22"/>
        </w:rPr>
        <w:t>V případě, že provozovatel objektu zařazeného do skupiny A nepostupuje v souladu s bezpečnostním programem a provozovatel objektu zařazeného do skupiny B nepostupuje v souladu s bezpečnostní zprávou nebo nepostupuje v souladu s vnitřním havarijním plánem, tyto přestupky projednává ČIŽP.</w:t>
      </w:r>
    </w:p>
    <w:p w:rsidR="00C52AAB" w:rsidRPr="00C6338F" w:rsidRDefault="00C52AAB" w:rsidP="00C52AAB">
      <w:pPr>
        <w:pStyle w:val="Odstavecseseznamem"/>
        <w:numPr>
          <w:ilvl w:val="0"/>
          <w:numId w:val="0"/>
        </w:numPr>
        <w:spacing w:after="120"/>
        <w:ind w:left="720"/>
        <w:jc w:val="both"/>
        <w:rPr>
          <w:rFonts w:ascii="Times New Roman" w:hAnsi="Times New Roman" w:cs="Times New Roman"/>
          <w:b/>
          <w:szCs w:val="22"/>
          <w:u w:val="single"/>
        </w:rPr>
      </w:pPr>
    </w:p>
    <w:p w:rsidR="00C52AAB" w:rsidRPr="00C6338F" w:rsidRDefault="00C52AAB" w:rsidP="00F33CFC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szCs w:val="22"/>
          <w:u w:val="single"/>
        </w:rPr>
      </w:pPr>
      <w:r w:rsidRPr="00C6338F">
        <w:rPr>
          <w:rFonts w:ascii="Times New Roman" w:hAnsi="Times New Roman" w:cs="Times New Roman"/>
          <w:b/>
          <w:szCs w:val="22"/>
          <w:u w:val="single"/>
        </w:rPr>
        <w:t>Příprava plánu kontrol na následující rok</w:t>
      </w:r>
    </w:p>
    <w:p w:rsidR="00C52AAB" w:rsidRPr="00C6338F" w:rsidRDefault="00C52AAB" w:rsidP="00C52AA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 xml:space="preserve">Do 31. srpna </w:t>
      </w:r>
      <w:r w:rsidRPr="00C6338F">
        <w:rPr>
          <w:rFonts w:ascii="Times New Roman" w:hAnsi="Times New Roman" w:cs="Times New Roman"/>
          <w:sz w:val="22"/>
          <w:szCs w:val="22"/>
        </w:rPr>
        <w:t>běžného kalendářního roku zpracují OI ČIŽP návrh dílčího ročního plánu kontrol pro následující kalendářní rok. Návrh projednají s příslušnými krajskými úřady a orgány integrované inspekce.</w:t>
      </w:r>
    </w:p>
    <w:p w:rsidR="00C52AAB" w:rsidRPr="00C6338F" w:rsidRDefault="00C52AAB" w:rsidP="00C52AA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 xml:space="preserve">Do 30. září </w:t>
      </w:r>
      <w:r w:rsidRPr="00C6338F">
        <w:rPr>
          <w:rFonts w:ascii="Times New Roman" w:hAnsi="Times New Roman" w:cs="Times New Roman"/>
          <w:sz w:val="22"/>
          <w:szCs w:val="22"/>
        </w:rPr>
        <w:t>běžného kalendářního roku zašlou OI ČIŽP tento návrh se zapracovanými připomínkami krajských úřadů a orgánů integrované inspekce na ředitelství ČIŽP.</w:t>
      </w:r>
    </w:p>
    <w:p w:rsidR="00C52AAB" w:rsidRPr="00C6338F" w:rsidRDefault="00C52AAB" w:rsidP="00C52AA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 xml:space="preserve">Do 31. října </w:t>
      </w:r>
      <w:r w:rsidRPr="00C6338F">
        <w:rPr>
          <w:rFonts w:ascii="Times New Roman" w:hAnsi="Times New Roman" w:cs="Times New Roman"/>
          <w:sz w:val="22"/>
          <w:szCs w:val="22"/>
        </w:rPr>
        <w:t>běžného kalendářního roku zpracuje ředitelství ČIŽP na základě dílčích ročních plánů kontrol zaslaných OI ČIŽP návrh ročního plánu kontrol pro následující kalendářní rok a zašle tento plán MŽP.</w:t>
      </w:r>
    </w:p>
    <w:p w:rsidR="00C52AAB" w:rsidRPr="00C6338F" w:rsidRDefault="00C52AAB" w:rsidP="00C52A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C6338F">
        <w:rPr>
          <w:rFonts w:ascii="Times New Roman" w:hAnsi="Times New Roman" w:cs="Times New Roman"/>
          <w:b/>
          <w:sz w:val="22"/>
          <w:szCs w:val="22"/>
        </w:rPr>
        <w:t xml:space="preserve">Do 30. listopadu </w:t>
      </w:r>
      <w:r w:rsidRPr="00C6338F">
        <w:rPr>
          <w:rFonts w:ascii="Times New Roman" w:hAnsi="Times New Roman" w:cs="Times New Roman"/>
          <w:sz w:val="22"/>
          <w:szCs w:val="22"/>
        </w:rPr>
        <w:t>běžného kalendářního roku informuje ředitelství ČIŽP o schválení návrhu ročního plánu kontrol OI ČIŽP a ty dále informují místně příslušné krajské úřady a orgány integrované inspekce.</w:t>
      </w:r>
    </w:p>
    <w:p w:rsidR="00B61434" w:rsidRPr="00B255EF" w:rsidRDefault="00B61434" w:rsidP="00CA1411">
      <w:pPr>
        <w:pStyle w:val="Odstavecseseznamem"/>
        <w:numPr>
          <w:ilvl w:val="0"/>
          <w:numId w:val="0"/>
        </w:numPr>
        <w:spacing w:after="0"/>
        <w:ind w:left="720"/>
        <w:jc w:val="both"/>
        <w:rPr>
          <w:rFonts w:ascii="Times New Roman" w:hAnsi="Times New Roman" w:cs="Times New Roman"/>
          <w:szCs w:val="22"/>
        </w:rPr>
      </w:pPr>
    </w:p>
    <w:sectPr w:rsidR="00B61434" w:rsidRPr="00B255EF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E5" w:rsidRDefault="00B942E5" w:rsidP="000764B1">
      <w:pPr>
        <w:spacing w:after="0" w:line="240" w:lineRule="auto"/>
      </w:pPr>
      <w:r>
        <w:separator/>
      </w:r>
    </w:p>
  </w:endnote>
  <w:endnote w:type="continuationSeparator" w:id="0">
    <w:p w:rsidR="00B942E5" w:rsidRDefault="00B942E5" w:rsidP="0007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218749"/>
      <w:docPartObj>
        <w:docPartGallery w:val="Page Numbers (Bottom of Page)"/>
        <w:docPartUnique/>
      </w:docPartObj>
    </w:sdtPr>
    <w:sdtEndPr/>
    <w:sdtContent>
      <w:p w:rsidR="000764B1" w:rsidRDefault="000764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95D">
          <w:rPr>
            <w:noProof/>
          </w:rPr>
          <w:t>4</w:t>
        </w:r>
        <w:r>
          <w:fldChar w:fldCharType="end"/>
        </w:r>
      </w:p>
    </w:sdtContent>
  </w:sdt>
  <w:p w:rsidR="000764B1" w:rsidRDefault="000764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E5" w:rsidRDefault="00B942E5" w:rsidP="000764B1">
      <w:pPr>
        <w:spacing w:after="0" w:line="240" w:lineRule="auto"/>
      </w:pPr>
      <w:r>
        <w:separator/>
      </w:r>
    </w:p>
  </w:footnote>
  <w:footnote w:type="continuationSeparator" w:id="0">
    <w:p w:rsidR="00B942E5" w:rsidRDefault="00B942E5" w:rsidP="00076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2D6"/>
    <w:multiLevelType w:val="hybridMultilevel"/>
    <w:tmpl w:val="16ECA9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65D"/>
    <w:multiLevelType w:val="hybridMultilevel"/>
    <w:tmpl w:val="167CD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01B9"/>
    <w:multiLevelType w:val="multilevel"/>
    <w:tmpl w:val="7CF2C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97E4F"/>
    <w:multiLevelType w:val="hybridMultilevel"/>
    <w:tmpl w:val="E346A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E33C4"/>
    <w:multiLevelType w:val="hybridMultilevel"/>
    <w:tmpl w:val="ACFAA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9156A"/>
    <w:multiLevelType w:val="multilevel"/>
    <w:tmpl w:val="5C48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85F2B"/>
    <w:multiLevelType w:val="hybridMultilevel"/>
    <w:tmpl w:val="4DC88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694"/>
    <w:multiLevelType w:val="hybridMultilevel"/>
    <w:tmpl w:val="C30C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658D2"/>
    <w:multiLevelType w:val="hybridMultilevel"/>
    <w:tmpl w:val="D126213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BB6196"/>
    <w:multiLevelType w:val="hybridMultilevel"/>
    <w:tmpl w:val="287A5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41653"/>
    <w:multiLevelType w:val="multilevel"/>
    <w:tmpl w:val="23A4C8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E0B7C"/>
    <w:multiLevelType w:val="hybridMultilevel"/>
    <w:tmpl w:val="5D7A7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A7310"/>
    <w:multiLevelType w:val="hybridMultilevel"/>
    <w:tmpl w:val="F77AA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B05AE"/>
    <w:multiLevelType w:val="multilevel"/>
    <w:tmpl w:val="4732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62D78"/>
    <w:multiLevelType w:val="hybridMultilevel"/>
    <w:tmpl w:val="A69E7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B3A1E"/>
    <w:multiLevelType w:val="hybridMultilevel"/>
    <w:tmpl w:val="819CA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73A1B"/>
    <w:multiLevelType w:val="hybridMultilevel"/>
    <w:tmpl w:val="DB4ED0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1D18AA"/>
    <w:multiLevelType w:val="hybridMultilevel"/>
    <w:tmpl w:val="E1BEF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D0AC5"/>
    <w:multiLevelType w:val="hybridMultilevel"/>
    <w:tmpl w:val="A4980A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6F2854"/>
    <w:multiLevelType w:val="hybridMultilevel"/>
    <w:tmpl w:val="9AFC2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D0239"/>
    <w:multiLevelType w:val="multilevel"/>
    <w:tmpl w:val="9688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23D9B"/>
    <w:multiLevelType w:val="multilevel"/>
    <w:tmpl w:val="485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8536D4"/>
    <w:multiLevelType w:val="multilevel"/>
    <w:tmpl w:val="50A2AB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F471D7"/>
    <w:multiLevelType w:val="hybridMultilevel"/>
    <w:tmpl w:val="BB228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761AE"/>
    <w:multiLevelType w:val="hybridMultilevel"/>
    <w:tmpl w:val="4832334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F932B7"/>
    <w:multiLevelType w:val="hybridMultilevel"/>
    <w:tmpl w:val="C60A1368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5C96FC4"/>
    <w:multiLevelType w:val="multilevel"/>
    <w:tmpl w:val="0FD23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97FEC"/>
    <w:multiLevelType w:val="multilevel"/>
    <w:tmpl w:val="AF90C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E829C9"/>
    <w:multiLevelType w:val="multilevel"/>
    <w:tmpl w:val="7872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911088"/>
    <w:multiLevelType w:val="hybridMultilevel"/>
    <w:tmpl w:val="B89254AA"/>
    <w:lvl w:ilvl="0" w:tplc="5ED0EE42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D1909"/>
    <w:multiLevelType w:val="hybridMultilevel"/>
    <w:tmpl w:val="2D94D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0DA3"/>
    <w:multiLevelType w:val="hybridMultilevel"/>
    <w:tmpl w:val="56EC0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B27DF"/>
    <w:multiLevelType w:val="hybridMultilevel"/>
    <w:tmpl w:val="8F3EA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6"/>
  </w:num>
  <w:num w:numId="4">
    <w:abstractNumId w:val="20"/>
  </w:num>
  <w:num w:numId="5">
    <w:abstractNumId w:val="23"/>
  </w:num>
  <w:num w:numId="6">
    <w:abstractNumId w:val="14"/>
  </w:num>
  <w:num w:numId="7">
    <w:abstractNumId w:val="1"/>
  </w:num>
  <w:num w:numId="8">
    <w:abstractNumId w:val="3"/>
  </w:num>
  <w:num w:numId="9">
    <w:abstractNumId w:val="15"/>
  </w:num>
  <w:num w:numId="10">
    <w:abstractNumId w:val="9"/>
  </w:num>
  <w:num w:numId="11">
    <w:abstractNumId w:val="19"/>
  </w:num>
  <w:num w:numId="12">
    <w:abstractNumId w:val="5"/>
  </w:num>
  <w:num w:numId="13">
    <w:abstractNumId w:val="13"/>
  </w:num>
  <w:num w:numId="14">
    <w:abstractNumId w:val="28"/>
  </w:num>
  <w:num w:numId="15">
    <w:abstractNumId w:val="4"/>
  </w:num>
  <w:num w:numId="16">
    <w:abstractNumId w:val="21"/>
  </w:num>
  <w:num w:numId="17">
    <w:abstractNumId w:val="31"/>
  </w:num>
  <w:num w:numId="18">
    <w:abstractNumId w:val="12"/>
  </w:num>
  <w:num w:numId="19">
    <w:abstractNumId w:val="32"/>
  </w:num>
  <w:num w:numId="20">
    <w:abstractNumId w:val="18"/>
  </w:num>
  <w:num w:numId="21">
    <w:abstractNumId w:val="16"/>
  </w:num>
  <w:num w:numId="22">
    <w:abstractNumId w:val="25"/>
  </w:num>
  <w:num w:numId="23">
    <w:abstractNumId w:val="17"/>
  </w:num>
  <w:num w:numId="24">
    <w:abstractNumId w:val="24"/>
  </w:num>
  <w:num w:numId="25">
    <w:abstractNumId w:val="8"/>
  </w:num>
  <w:num w:numId="26">
    <w:abstractNumId w:val="0"/>
  </w:num>
  <w:num w:numId="27">
    <w:abstractNumId w:val="30"/>
  </w:num>
  <w:num w:numId="28">
    <w:abstractNumId w:val="11"/>
  </w:num>
  <w:num w:numId="29">
    <w:abstractNumId w:val="7"/>
  </w:num>
  <w:num w:numId="30">
    <w:abstractNumId w:val="22"/>
  </w:num>
  <w:num w:numId="31">
    <w:abstractNumId w:val="2"/>
  </w:num>
  <w:num w:numId="32">
    <w:abstractNumId w:val="27"/>
  </w:num>
  <w:num w:numId="33">
    <w:abstractNumId w:val="2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3D"/>
    <w:rsid w:val="00055652"/>
    <w:rsid w:val="000764B1"/>
    <w:rsid w:val="000D1C00"/>
    <w:rsid w:val="000E6BE2"/>
    <w:rsid w:val="00151A6B"/>
    <w:rsid w:val="00154428"/>
    <w:rsid w:val="001C7162"/>
    <w:rsid w:val="002033F7"/>
    <w:rsid w:val="0022478A"/>
    <w:rsid w:val="00232C0A"/>
    <w:rsid w:val="00242FC8"/>
    <w:rsid w:val="00252A59"/>
    <w:rsid w:val="00263A83"/>
    <w:rsid w:val="00264CB3"/>
    <w:rsid w:val="00264FA1"/>
    <w:rsid w:val="00266E84"/>
    <w:rsid w:val="00281AED"/>
    <w:rsid w:val="002B171E"/>
    <w:rsid w:val="002C3E69"/>
    <w:rsid w:val="002D41FF"/>
    <w:rsid w:val="002D4569"/>
    <w:rsid w:val="0034580C"/>
    <w:rsid w:val="003464C5"/>
    <w:rsid w:val="00371F20"/>
    <w:rsid w:val="003A37BD"/>
    <w:rsid w:val="003B64F1"/>
    <w:rsid w:val="00456499"/>
    <w:rsid w:val="00475924"/>
    <w:rsid w:val="004A6888"/>
    <w:rsid w:val="004B7387"/>
    <w:rsid w:val="004D7E3B"/>
    <w:rsid w:val="004E3A60"/>
    <w:rsid w:val="00511A19"/>
    <w:rsid w:val="00515D22"/>
    <w:rsid w:val="00515EDE"/>
    <w:rsid w:val="00540A35"/>
    <w:rsid w:val="00570316"/>
    <w:rsid w:val="00575B84"/>
    <w:rsid w:val="00597D20"/>
    <w:rsid w:val="005A2732"/>
    <w:rsid w:val="005B0D23"/>
    <w:rsid w:val="005B4DA5"/>
    <w:rsid w:val="005B5917"/>
    <w:rsid w:val="005C3609"/>
    <w:rsid w:val="005D6068"/>
    <w:rsid w:val="005E4E88"/>
    <w:rsid w:val="006257F3"/>
    <w:rsid w:val="00631E8A"/>
    <w:rsid w:val="006810EB"/>
    <w:rsid w:val="006A689F"/>
    <w:rsid w:val="006A78DC"/>
    <w:rsid w:val="006C725A"/>
    <w:rsid w:val="006E37B2"/>
    <w:rsid w:val="00715427"/>
    <w:rsid w:val="00765899"/>
    <w:rsid w:val="0077439F"/>
    <w:rsid w:val="00791F96"/>
    <w:rsid w:val="007B385C"/>
    <w:rsid w:val="007C794F"/>
    <w:rsid w:val="00807DDA"/>
    <w:rsid w:val="008B30C7"/>
    <w:rsid w:val="008C0DD3"/>
    <w:rsid w:val="008C5893"/>
    <w:rsid w:val="00922269"/>
    <w:rsid w:val="00951469"/>
    <w:rsid w:val="00977D97"/>
    <w:rsid w:val="009C2680"/>
    <w:rsid w:val="009E3B0E"/>
    <w:rsid w:val="009F6157"/>
    <w:rsid w:val="00A17771"/>
    <w:rsid w:val="00A31C16"/>
    <w:rsid w:val="00A61084"/>
    <w:rsid w:val="00A65CC7"/>
    <w:rsid w:val="00A97990"/>
    <w:rsid w:val="00AE36EE"/>
    <w:rsid w:val="00B05D0C"/>
    <w:rsid w:val="00B06166"/>
    <w:rsid w:val="00B16ED2"/>
    <w:rsid w:val="00B2403A"/>
    <w:rsid w:val="00B255EF"/>
    <w:rsid w:val="00B43DF3"/>
    <w:rsid w:val="00B61434"/>
    <w:rsid w:val="00B829EA"/>
    <w:rsid w:val="00B82FB3"/>
    <w:rsid w:val="00B9325C"/>
    <w:rsid w:val="00B942E5"/>
    <w:rsid w:val="00BC376C"/>
    <w:rsid w:val="00BD4759"/>
    <w:rsid w:val="00BD626E"/>
    <w:rsid w:val="00C05BAC"/>
    <w:rsid w:val="00C52AAB"/>
    <w:rsid w:val="00C61EA0"/>
    <w:rsid w:val="00C6338F"/>
    <w:rsid w:val="00C7360C"/>
    <w:rsid w:val="00CA1411"/>
    <w:rsid w:val="00CA4E47"/>
    <w:rsid w:val="00CE1ED5"/>
    <w:rsid w:val="00D03A0C"/>
    <w:rsid w:val="00D45744"/>
    <w:rsid w:val="00D66CB3"/>
    <w:rsid w:val="00DD2CE9"/>
    <w:rsid w:val="00DD53FB"/>
    <w:rsid w:val="00E1795D"/>
    <w:rsid w:val="00E5384C"/>
    <w:rsid w:val="00E76187"/>
    <w:rsid w:val="00E95B56"/>
    <w:rsid w:val="00ED7FA6"/>
    <w:rsid w:val="00EE623E"/>
    <w:rsid w:val="00F17EF8"/>
    <w:rsid w:val="00F33CFC"/>
    <w:rsid w:val="00F407B5"/>
    <w:rsid w:val="00F75AC5"/>
    <w:rsid w:val="00F91D99"/>
    <w:rsid w:val="00F95EF5"/>
    <w:rsid w:val="00FA5E96"/>
    <w:rsid w:val="00FE2B3D"/>
    <w:rsid w:val="00F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1D4B"/>
  <w15:docId w15:val="{2FA4B0A9-17EB-41CE-BC3D-B3DEA01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4F1"/>
    <w:rPr>
      <w:iCs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9"/>
    <w:qFormat/>
    <w:rsid w:val="003B64F1"/>
    <w:pPr>
      <w:pBdr>
        <w:top w:val="single" w:sz="12" w:space="1" w:color="9F2936" w:themeColor="accent2"/>
        <w:left w:val="single" w:sz="12" w:space="4" w:color="9F2936" w:themeColor="accent2"/>
        <w:bottom w:val="single" w:sz="12" w:space="1" w:color="9F2936" w:themeColor="accent2"/>
        <w:right w:val="single" w:sz="12" w:space="4" w:color="9F2936" w:themeColor="accent2"/>
      </w:pBdr>
      <w:shd w:val="clear" w:color="auto" w:fill="F07F09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64F1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F07F09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64F1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761E28" w:themeColor="accent2" w:themeShade="BF"/>
      <w:spacing w:val="24"/>
      <w:sz w:val="28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64F1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B35E06" w:themeColor="accent1" w:themeShade="BF"/>
      <w:sz w:val="24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B64F1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761E28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B64F1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35E06" w:themeColor="accent1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64F1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61E28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64F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07F09" w:themeColor="accent1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64F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F2936" w:themeColor="accent2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64F1"/>
    <w:rPr>
      <w:rFonts w:asciiTheme="majorHAnsi" w:hAnsiTheme="majorHAnsi"/>
      <w:iCs/>
      <w:color w:val="FFFFFF"/>
      <w:sz w:val="28"/>
      <w:szCs w:val="38"/>
      <w:shd w:val="clear" w:color="auto" w:fill="F07F0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64F1"/>
    <w:rPr>
      <w:rFonts w:asciiTheme="majorHAnsi" w:eastAsiaTheme="majorEastAsia" w:hAnsiTheme="majorHAnsi" w:cstheme="majorBidi"/>
      <w:b/>
      <w:bCs/>
      <w:iCs/>
      <w:outline/>
      <w:color w:val="F07F09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64F1"/>
    <w:rPr>
      <w:rFonts w:asciiTheme="majorHAnsi" w:eastAsiaTheme="majorEastAsia" w:hAnsiTheme="majorHAnsi" w:cstheme="majorBidi"/>
      <w:b/>
      <w:bCs/>
      <w:iCs/>
      <w:smallCaps/>
      <w:color w:val="761E28" w:themeColor="accent2" w:themeShade="BF"/>
      <w:spacing w:val="24"/>
      <w:sz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64F1"/>
    <w:rPr>
      <w:rFonts w:asciiTheme="majorHAnsi" w:eastAsiaTheme="majorEastAsia" w:hAnsiTheme="majorHAnsi" w:cstheme="majorBidi"/>
      <w:b/>
      <w:bCs/>
      <w:iCs/>
      <w:color w:val="B35E0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3B64F1"/>
    <w:rPr>
      <w:rFonts w:asciiTheme="majorHAnsi" w:eastAsiaTheme="majorEastAsia" w:hAnsiTheme="majorHAnsi" w:cstheme="majorBidi"/>
      <w:bCs/>
      <w:iCs/>
      <w:caps/>
      <w:color w:val="761E28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3B64F1"/>
    <w:rPr>
      <w:rFonts w:asciiTheme="majorHAnsi" w:eastAsiaTheme="majorEastAsia" w:hAnsiTheme="majorHAnsi" w:cstheme="majorBidi"/>
      <w:iCs/>
      <w:color w:val="B35E06" w:themeColor="accent1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64F1"/>
    <w:rPr>
      <w:rFonts w:asciiTheme="majorHAnsi" w:eastAsiaTheme="majorEastAsia" w:hAnsiTheme="majorHAnsi" w:cstheme="majorBidi"/>
      <w:iCs/>
      <w:color w:val="761E28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64F1"/>
    <w:rPr>
      <w:rFonts w:asciiTheme="majorHAnsi" w:eastAsiaTheme="majorEastAsia" w:hAnsiTheme="majorHAnsi" w:cstheme="majorBidi"/>
      <w:iCs/>
      <w:color w:val="F07F09" w:themeColor="accent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64F1"/>
    <w:rPr>
      <w:rFonts w:asciiTheme="majorHAnsi" w:eastAsiaTheme="majorEastAsia" w:hAnsiTheme="majorHAnsi" w:cstheme="majorBidi"/>
      <w:iCs/>
      <w:smallCaps/>
      <w:color w:val="9F2936" w:themeColor="accent2"/>
      <w:sz w:val="20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B64F1"/>
    <w:rPr>
      <w:b/>
      <w:bCs/>
      <w:color w:val="761E28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B64F1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10"/>
    <w:rsid w:val="003B64F1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Podnadpis">
    <w:name w:val="Subtitle"/>
    <w:basedOn w:val="Normln"/>
    <w:next w:val="Normln"/>
    <w:link w:val="PodnadpisChar"/>
    <w:qFormat/>
    <w:rsid w:val="003B64F1"/>
    <w:pPr>
      <w:spacing w:before="200" w:after="360" w:line="240" w:lineRule="auto"/>
    </w:pPr>
    <w:rPr>
      <w:rFonts w:asciiTheme="majorHAnsi" w:eastAsiaTheme="majorEastAsia" w:hAnsiTheme="majorHAnsi" w:cstheme="majorBidi"/>
      <w:color w:val="323232" w:themeColor="text2"/>
      <w:spacing w:val="2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3B64F1"/>
    <w:rPr>
      <w:rFonts w:asciiTheme="majorHAnsi" w:eastAsiaTheme="majorEastAsia" w:hAnsiTheme="majorHAnsi" w:cstheme="majorBidi"/>
      <w:iCs/>
      <w:color w:val="323232" w:themeColor="text2"/>
      <w:spacing w:val="20"/>
      <w:sz w:val="24"/>
      <w:szCs w:val="24"/>
    </w:rPr>
  </w:style>
  <w:style w:type="character" w:styleId="Siln">
    <w:name w:val="Strong"/>
    <w:uiPriority w:val="22"/>
    <w:qFormat/>
    <w:rsid w:val="003B64F1"/>
    <w:rPr>
      <w:b/>
      <w:bCs/>
      <w:spacing w:val="0"/>
    </w:rPr>
  </w:style>
  <w:style w:type="character" w:styleId="Zdraznn">
    <w:name w:val="Emphasis"/>
    <w:uiPriority w:val="20"/>
    <w:qFormat/>
    <w:rsid w:val="003B64F1"/>
    <w:rPr>
      <w:rFonts w:eastAsiaTheme="majorEastAsia" w:cstheme="majorBidi"/>
      <w:b/>
      <w:bCs/>
      <w:color w:val="761E28" w:themeColor="accent2" w:themeShade="BF"/>
      <w:bdr w:val="single" w:sz="18" w:space="0" w:color="E3DED1" w:themeColor="background2"/>
      <w:shd w:val="clear" w:color="auto" w:fill="E3DED1" w:themeFill="background2"/>
    </w:rPr>
  </w:style>
  <w:style w:type="paragraph" w:styleId="Bezmezer">
    <w:name w:val="No Spacing"/>
    <w:basedOn w:val="Normln"/>
    <w:uiPriority w:val="1"/>
    <w:qFormat/>
    <w:rsid w:val="003B64F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B64F1"/>
    <w:pPr>
      <w:numPr>
        <w:numId w:val="2"/>
      </w:numPr>
      <w:contextualSpacing/>
    </w:pPr>
    <w:rPr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3B64F1"/>
    <w:rPr>
      <w:b/>
      <w:i/>
      <w:color w:val="9F2936" w:themeColor="accent2"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3B64F1"/>
    <w:rPr>
      <w:b/>
      <w:i/>
      <w:iCs/>
      <w:color w:val="9F2936" w:themeColor="accent2"/>
      <w:sz w:val="24"/>
      <w:szCs w:val="2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64F1"/>
    <w:pPr>
      <w:pBdr>
        <w:top w:val="dotted" w:sz="8" w:space="10" w:color="9F2936" w:themeColor="accent2"/>
        <w:bottom w:val="dotted" w:sz="8" w:space="10" w:color="9F293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9F2936" w:themeColor="accent2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64F1"/>
    <w:rPr>
      <w:rFonts w:asciiTheme="majorHAnsi" w:eastAsiaTheme="majorEastAsia" w:hAnsiTheme="majorHAnsi" w:cstheme="majorBidi"/>
      <w:b/>
      <w:bCs/>
      <w:i/>
      <w:iCs/>
      <w:color w:val="9F2936" w:themeColor="accent2"/>
      <w:sz w:val="20"/>
      <w:szCs w:val="20"/>
    </w:rPr>
  </w:style>
  <w:style w:type="character" w:styleId="Zdraznnjemn">
    <w:name w:val="Subtle Emphasis"/>
    <w:uiPriority w:val="19"/>
    <w:qFormat/>
    <w:rsid w:val="003B64F1"/>
    <w:rPr>
      <w:rFonts w:asciiTheme="majorHAnsi" w:eastAsiaTheme="majorEastAsia" w:hAnsiTheme="majorHAnsi" w:cstheme="majorBidi"/>
      <w:b/>
      <w:i/>
      <w:color w:val="F07F09" w:themeColor="accent1"/>
    </w:rPr>
  </w:style>
  <w:style w:type="character" w:styleId="Zdraznnintenzivn">
    <w:name w:val="Intense Emphasis"/>
    <w:uiPriority w:val="21"/>
    <w:qFormat/>
    <w:rsid w:val="003B64F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F2936" w:themeColor="accent2"/>
      <w:shd w:val="clear" w:color="auto" w:fill="9F2936" w:themeFill="accent2"/>
      <w:vertAlign w:val="baseline"/>
    </w:rPr>
  </w:style>
  <w:style w:type="character" w:styleId="Odkazjemn">
    <w:name w:val="Subtle Reference"/>
    <w:uiPriority w:val="31"/>
    <w:qFormat/>
    <w:rsid w:val="003B64F1"/>
    <w:rPr>
      <w:i/>
      <w:iCs/>
      <w:smallCaps/>
      <w:color w:val="9F2936" w:themeColor="accent2"/>
      <w:u w:color="9F2936" w:themeColor="accent2"/>
    </w:rPr>
  </w:style>
  <w:style w:type="character" w:styleId="Odkazintenzivn">
    <w:name w:val="Intense Reference"/>
    <w:uiPriority w:val="32"/>
    <w:qFormat/>
    <w:rsid w:val="003B64F1"/>
    <w:rPr>
      <w:b/>
      <w:bCs/>
      <w:i/>
      <w:iCs/>
      <w:smallCaps/>
      <w:color w:val="9F2936" w:themeColor="accent2"/>
      <w:u w:color="9F2936" w:themeColor="accent2"/>
    </w:rPr>
  </w:style>
  <w:style w:type="character" w:styleId="Nzevknihy">
    <w:name w:val="Book Title"/>
    <w:uiPriority w:val="33"/>
    <w:qFormat/>
    <w:rsid w:val="003B64F1"/>
    <w:rPr>
      <w:rFonts w:asciiTheme="majorHAnsi" w:eastAsiaTheme="majorEastAsia" w:hAnsiTheme="majorHAnsi" w:cstheme="majorBidi"/>
      <w:b/>
      <w:bCs/>
      <w:smallCaps/>
      <w:color w:val="9F2936" w:themeColor="accent2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B64F1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07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64B1"/>
    <w:rPr>
      <w:iCs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076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64B1"/>
    <w:rPr>
      <w:iCs/>
      <w:sz w:val="21"/>
      <w:szCs w:val="21"/>
    </w:rPr>
  </w:style>
  <w:style w:type="paragraph" w:styleId="Zkladntext">
    <w:name w:val="Body Text"/>
    <w:aliases w:val="Základní text - tabulka,termo"/>
    <w:basedOn w:val="Normln"/>
    <w:link w:val="ZkladntextChar"/>
    <w:uiPriority w:val="99"/>
    <w:semiHidden/>
    <w:rsid w:val="00B829EA"/>
    <w:pPr>
      <w:spacing w:after="0" w:line="240" w:lineRule="auto"/>
      <w:jc w:val="center"/>
    </w:pPr>
    <w:rPr>
      <w:rFonts w:ascii="Times New Roman" w:eastAsia="Times New Roman" w:hAnsi="Times New Roman" w:cs="Times New Roman"/>
      <w:b/>
      <w:iCs w:val="0"/>
      <w:sz w:val="24"/>
      <w:szCs w:val="20"/>
      <w:u w:val="single"/>
      <w:lang w:eastAsia="cs-CZ"/>
    </w:rPr>
  </w:style>
  <w:style w:type="character" w:customStyle="1" w:styleId="ZkladntextChar">
    <w:name w:val="Základní text Char"/>
    <w:aliases w:val="Základní text - tabulka Char,termo Char"/>
    <w:basedOn w:val="Standardnpsmoodstavce"/>
    <w:link w:val="Zkladntext"/>
    <w:uiPriority w:val="99"/>
    <w:semiHidden/>
    <w:rsid w:val="00B829E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11A1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11A19"/>
    <w:rPr>
      <w:iCs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E5384C"/>
    <w:rPr>
      <w:color w:val="6B9F25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725A"/>
    <w:rPr>
      <w:rFonts w:ascii="Tahoma" w:hAnsi="Tahoma" w:cs="Tahoma"/>
      <w:iCs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C61EA0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zp.cz/C1257458002F0DC7/cz/aktualni_informace_havarie/$FILE/OERES-Zmena_zakona-20210902.pdf" TargetMode="External"/><Relationship Id="rId18" Type="http://schemas.openxmlformats.org/officeDocument/2006/relationships/hyperlink" Target="http://ec.europa.eu/environment/seveso/index.htm" TargetMode="External"/><Relationship Id="rId26" Type="http://schemas.openxmlformats.org/officeDocument/2006/relationships/hyperlink" Target="https://www.csb.gov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pirs.jrc.ec.europa.eu/en/espirs/conten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zp.cz/C1257458002F0DC7/cz/pravni_ramec_havarii/$FILE/OERES-311-20220427.pdf" TargetMode="External"/><Relationship Id="rId17" Type="http://schemas.openxmlformats.org/officeDocument/2006/relationships/hyperlink" Target="http://www.mzp.cz/web/edice.nsf/123BB4840077E308C1257FEE002FBD41/$file/V%C4%9Bstn%C3%ADk_5_%C4%8Derven_2016_final.pdf" TargetMode="External"/><Relationship Id="rId25" Type="http://schemas.openxmlformats.org/officeDocument/2006/relationships/hyperlink" Target="http://www.oecd.org/env/ehs/chemical-accidents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vubp.cz/prevence-zavaznych-havarii/metodiky" TargetMode="External"/><Relationship Id="rId20" Type="http://schemas.openxmlformats.org/officeDocument/2006/relationships/hyperlink" Target="https://minerva.jrc.ec.europa.eu/en/minerva" TargetMode="External"/><Relationship Id="rId29" Type="http://schemas.openxmlformats.org/officeDocument/2006/relationships/hyperlink" Target="https://mapis.vubp.cz/Portal/Default.aspx?stamp=63723686422565178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zp.cz/www/platnalegislativa.nsf/%24%24OpenDominoDocument.xsp?documentId=D87F03921E8D69C0C1257ED50045A4BC&amp;action=openDocument" TargetMode="External"/><Relationship Id="rId24" Type="http://schemas.openxmlformats.org/officeDocument/2006/relationships/hyperlink" Target="http://www.unece.org/env/teia.html" TargetMode="External"/><Relationship Id="rId32" Type="http://schemas.openxmlformats.org/officeDocument/2006/relationships/hyperlink" Target="mailto:martina.pazourova@cizp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zp.cz/C1257458002F0DC7/cz/metodicke_pokyny_odboru_enviro_rizik/$FILE/oeres-met_pzp-20160310.pdf" TargetMode="External"/><Relationship Id="rId23" Type="http://schemas.openxmlformats.org/officeDocument/2006/relationships/hyperlink" Target="https://minerva.jrc.ec.europa.eu/en/content/minerva/f30d9006-41d0-46d1-bf43-e033d2f5a9cd/publications" TargetMode="External"/><Relationship Id="rId28" Type="http://schemas.openxmlformats.org/officeDocument/2006/relationships/hyperlink" Target="https://www.bozpinfo.cz/casopis-josra" TargetMode="External"/><Relationship Id="rId10" Type="http://schemas.openxmlformats.org/officeDocument/2006/relationships/hyperlink" Target="https://www.mzp.cz/www/platnalegislativa.nsf/%24%24OpenDominoDocument.xsp?documentId=FCC0F3EDC2C4CB73C1257ED5004541BA&amp;action=openDocument" TargetMode="External"/><Relationship Id="rId19" Type="http://schemas.openxmlformats.org/officeDocument/2006/relationships/hyperlink" Target="https://circabc.europa.eu/faces/jsp/extension/wai/navigation/container.jsp?FormPrincipal:_idcl=FormPrincipal:left-menu-link-lib-closed&amp;FormPrincipal_SUBMIT=1&amp;javax.faces.ViewState=4LKmaSKIRPQ2B0w0EbaxYs8ko7xWhOpy5c1Ow92QJOaLjJulVJ%2FJKpHejcFKhcPqSwUfE7fObjF15tuoOLmIGuh7u1VIZJU4u%2FK%2BZ6eySAa37fTgGjifFVzLEpQO4uVi6AM42aFNlDgYzihKtEhNpZsmU2M%3D" TargetMode="External"/><Relationship Id="rId31" Type="http://schemas.openxmlformats.org/officeDocument/2006/relationships/hyperlink" Target="http://www.zmenyzakonu.cz/vyber.aspx?k=229/2015%20Sb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zp.cz/www/platnalegislativa.nsf/%24%24OpenDominoDocument.xsp?documentId=30A643006E3FFB4DC1257ED50044D88D&amp;action=openDocument" TargetMode="External"/><Relationship Id="rId14" Type="http://schemas.openxmlformats.org/officeDocument/2006/relationships/hyperlink" Target="http://www.mzp.cz/C1257458002F0DC7/cz/metodicke_pokyny_odboru_enviro_rizik/$FILE/OERES-met_pokyn_zarazeni-20160510.pdf" TargetMode="External"/><Relationship Id="rId22" Type="http://schemas.openxmlformats.org/officeDocument/2006/relationships/hyperlink" Target="https://emars.jrc.ec.europa.eu/?id=4" TargetMode="External"/><Relationship Id="rId27" Type="http://schemas.openxmlformats.org/officeDocument/2006/relationships/hyperlink" Target="http://www.bozpinfo.cz/kategorie/josra-prevence-zavaznych-havarii" TargetMode="External"/><Relationship Id="rId30" Type="http://schemas.openxmlformats.org/officeDocument/2006/relationships/hyperlink" Target="https://www.mzp.cz/cz/prevence_zavaznych_havarii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mzp.cz/www/platnalegislativa.nsf/%24%24OpenDominoDocument.xsp?documentId=A3D14211EBFE21E4C1257ED500448E7C&amp;action=openDocument" TargetMode="External"/></Relationships>
</file>

<file path=word/theme/theme1.xml><?xml version="1.0" encoding="utf-8"?>
<a:theme xmlns:a="http://schemas.openxmlformats.org/drawingml/2006/main" name="Motiv systém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62089-F271-4FD0-B5DC-75B5C5512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2123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Pazourová Martina</dc:creator>
  <cp:lastModifiedBy>Pazourová Martina</cp:lastModifiedBy>
  <cp:revision>5</cp:revision>
  <cp:lastPrinted>2021-11-02T08:16:00Z</cp:lastPrinted>
  <dcterms:created xsi:type="dcterms:W3CDTF">2022-10-25T06:29:00Z</dcterms:created>
  <dcterms:modified xsi:type="dcterms:W3CDTF">2022-12-07T15:27:00Z</dcterms:modified>
</cp:coreProperties>
</file>